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4961A" w14:textId="77777777" w:rsidR="00336714" w:rsidRPr="00AF639B" w:rsidRDefault="00336714" w:rsidP="00336714">
      <w:pPr>
        <w:jc w:val="center"/>
        <w:rPr>
          <w:rFonts w:ascii="Calibri" w:hAnsi="Calibri" w:cs="Calibri"/>
          <w:b/>
          <w:u w:val="single"/>
        </w:rPr>
      </w:pPr>
      <w:bookmarkStart w:id="0" w:name="_heading=h.26in1rg" w:colFirst="0" w:colLast="0"/>
      <w:bookmarkStart w:id="1" w:name="_heading=h.lnxbz9" w:colFirst="0" w:colLast="0"/>
      <w:bookmarkEnd w:id="0"/>
      <w:bookmarkEnd w:id="1"/>
      <w:r w:rsidRPr="00AF639B">
        <w:rPr>
          <w:rFonts w:ascii="Calibri" w:hAnsi="Calibri" w:cs="Calibri"/>
          <w:b/>
          <w:u w:val="single"/>
        </w:rPr>
        <w:t>ORDEN DE COMPRA</w:t>
      </w:r>
    </w:p>
    <w:p w14:paraId="68FF3C15" w14:textId="77777777" w:rsidR="00336714" w:rsidRPr="00AF639B" w:rsidRDefault="00336714" w:rsidP="00336714">
      <w:pPr>
        <w:jc w:val="center"/>
        <w:rPr>
          <w:rFonts w:ascii="Calibri" w:hAnsi="Calibri" w:cs="Calibri"/>
          <w:b/>
          <w:u w:val="single"/>
        </w:rPr>
      </w:pPr>
      <w:r w:rsidRPr="00AF639B">
        <w:rPr>
          <w:rFonts w:ascii="Calibri" w:hAnsi="Calibri" w:cs="Calibri"/>
          <w:noProof/>
        </w:rPr>
        <w:drawing>
          <wp:inline distT="0" distB="0" distL="0" distR="0" wp14:anchorId="788AF1F0" wp14:editId="057072C9">
            <wp:extent cx="1828800" cy="1036320"/>
            <wp:effectExtent l="0" t="0" r="0" b="11430"/>
            <wp:docPr id="1974484336"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27" descr="Logotipo&#10;&#10;Descripción generada automáticament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828800" cy="1036320"/>
                    </a:xfrm>
                    <a:prstGeom prst="rect">
                      <a:avLst/>
                    </a:prstGeom>
                    <a:noFill/>
                    <a:ln>
                      <a:noFill/>
                    </a:ln>
                  </pic:spPr>
                </pic:pic>
              </a:graphicData>
            </a:graphic>
          </wp:inline>
        </w:drawing>
      </w:r>
    </w:p>
    <w:p w14:paraId="22B0ED43" w14:textId="77777777" w:rsidR="00336714" w:rsidRPr="008C7836" w:rsidRDefault="00336714" w:rsidP="00336714">
      <w:pPr>
        <w:jc w:val="center"/>
        <w:rPr>
          <w:rFonts w:ascii="Calibri" w:hAnsi="Calibri" w:cs="Calibri"/>
          <w:sz w:val="20"/>
        </w:rPr>
      </w:pPr>
      <w:proofErr w:type="spellStart"/>
      <w:r w:rsidRPr="008C7836">
        <w:rPr>
          <w:rFonts w:ascii="Calibri" w:hAnsi="Calibri" w:cs="Calibri"/>
          <w:sz w:val="20"/>
        </w:rPr>
        <w:t>ALyC</w:t>
      </w:r>
      <w:proofErr w:type="spellEnd"/>
      <w:r w:rsidRPr="008C7836">
        <w:rPr>
          <w:rFonts w:ascii="Calibri" w:hAnsi="Calibri" w:cs="Calibri"/>
          <w:sz w:val="20"/>
        </w:rPr>
        <w:t xml:space="preserve"> – y AN Integral </w:t>
      </w:r>
      <w:proofErr w:type="spellStart"/>
      <w:r w:rsidRPr="008C7836">
        <w:rPr>
          <w:rFonts w:ascii="Calibri" w:hAnsi="Calibri" w:cs="Calibri"/>
          <w:sz w:val="20"/>
        </w:rPr>
        <w:t>N°</w:t>
      </w:r>
      <w:proofErr w:type="spellEnd"/>
      <w:r w:rsidRPr="008C7836">
        <w:rPr>
          <w:rFonts w:ascii="Calibri" w:hAnsi="Calibri" w:cs="Calibri"/>
          <w:sz w:val="20"/>
        </w:rPr>
        <w:t xml:space="preserve"> 64 ante la CNV</w:t>
      </w:r>
    </w:p>
    <w:p w14:paraId="568FC77B" w14:textId="77777777" w:rsidR="00C04B93" w:rsidRPr="001F7AF7" w:rsidRDefault="00C04B93" w:rsidP="00C04B93">
      <w:pPr>
        <w:ind w:left="284"/>
        <w:jc w:val="both"/>
        <w:rPr>
          <w:rFonts w:asciiTheme="minorHAnsi" w:eastAsia="Calibri" w:hAnsiTheme="minorHAnsi"/>
          <w:sz w:val="20"/>
          <w:vertAlign w:val="superscript"/>
        </w:rPr>
      </w:pPr>
    </w:p>
    <w:p w14:paraId="64E4ACFF" w14:textId="77777777" w:rsidR="00C04B93" w:rsidRPr="001F7AF7" w:rsidRDefault="00C04B93" w:rsidP="00C04B93">
      <w:pPr>
        <w:widowControl w:val="0"/>
        <w:tabs>
          <w:tab w:val="center" w:pos="4545"/>
        </w:tabs>
        <w:spacing w:before="82"/>
        <w:ind w:right="-20"/>
        <w:rPr>
          <w:rFonts w:asciiTheme="minorHAnsi" w:eastAsia="Calibri" w:hAnsiTheme="minorHAnsi"/>
          <w:color w:val="000000"/>
          <w:sz w:val="20"/>
          <w:u w:val="single"/>
        </w:rPr>
      </w:pPr>
    </w:p>
    <w:p w14:paraId="4E248BC0" w14:textId="77777777" w:rsidR="00C04B93" w:rsidRPr="001F7AF7" w:rsidRDefault="00C04B93" w:rsidP="00C04B93">
      <w:pPr>
        <w:pBdr>
          <w:top w:val="nil"/>
          <w:left w:val="nil"/>
          <w:bottom w:val="nil"/>
          <w:right w:val="nil"/>
          <w:between w:val="nil"/>
        </w:pBdr>
        <w:jc w:val="center"/>
        <w:rPr>
          <w:rFonts w:asciiTheme="minorHAnsi" w:eastAsia="Calibri" w:hAnsiTheme="minorHAnsi"/>
          <w:color w:val="000000"/>
          <w:sz w:val="20"/>
        </w:rPr>
      </w:pPr>
    </w:p>
    <w:p w14:paraId="6B122A20" w14:textId="77777777" w:rsidR="00C04B93" w:rsidRPr="001F7AF7" w:rsidRDefault="00C04B93" w:rsidP="00C04B93">
      <w:pPr>
        <w:pBdr>
          <w:top w:val="nil"/>
          <w:left w:val="nil"/>
          <w:bottom w:val="nil"/>
          <w:right w:val="nil"/>
          <w:between w:val="nil"/>
        </w:pBdr>
        <w:ind w:left="180"/>
        <w:jc w:val="center"/>
        <w:rPr>
          <w:rFonts w:asciiTheme="minorHAnsi" w:eastAsia="Calibri" w:hAnsiTheme="minorHAnsi"/>
          <w:smallCaps/>
          <w:color w:val="000000"/>
          <w:sz w:val="20"/>
        </w:rPr>
      </w:pPr>
      <w:r w:rsidRPr="001F7AF7">
        <w:rPr>
          <w:rFonts w:asciiTheme="minorHAnsi" w:eastAsia="Calibri" w:hAnsiTheme="minorHAnsi"/>
          <w:b/>
          <w:smallCaps/>
          <w:color w:val="000000"/>
          <w:sz w:val="20"/>
        </w:rPr>
        <w:t>ORDEN DE SUSCRIPCIÓN IRREVOCABLE</w:t>
      </w:r>
    </w:p>
    <w:p w14:paraId="32E7049D" w14:textId="77777777" w:rsidR="00C04B93" w:rsidRPr="001F7AF7" w:rsidRDefault="00C04B93" w:rsidP="00C04B93">
      <w:pPr>
        <w:pBdr>
          <w:top w:val="nil"/>
          <w:left w:val="nil"/>
          <w:bottom w:val="nil"/>
          <w:right w:val="nil"/>
          <w:between w:val="nil"/>
        </w:pBdr>
        <w:ind w:left="180"/>
        <w:jc w:val="center"/>
        <w:rPr>
          <w:rFonts w:asciiTheme="minorHAnsi" w:eastAsia="Calibri" w:hAnsiTheme="minorHAnsi"/>
          <w:color w:val="000000"/>
          <w:sz w:val="20"/>
        </w:rPr>
      </w:pPr>
    </w:p>
    <w:p w14:paraId="63A8BF98" w14:textId="77777777" w:rsidR="00C04B93" w:rsidRPr="001F7AF7" w:rsidRDefault="00C04B93" w:rsidP="00C04B93">
      <w:pPr>
        <w:pBdr>
          <w:top w:val="nil"/>
          <w:left w:val="nil"/>
          <w:bottom w:val="nil"/>
          <w:right w:val="nil"/>
          <w:between w:val="nil"/>
        </w:pBdr>
        <w:jc w:val="center"/>
        <w:rPr>
          <w:rFonts w:asciiTheme="minorHAnsi" w:eastAsia="Calibri" w:hAnsiTheme="minorHAnsi"/>
          <w:b/>
          <w:sz w:val="20"/>
        </w:rPr>
      </w:pPr>
      <w:r w:rsidRPr="001F7AF7">
        <w:rPr>
          <w:rFonts w:asciiTheme="minorHAnsi" w:eastAsia="Calibri" w:hAnsiTheme="minorHAnsi"/>
          <w:b/>
          <w:sz w:val="20"/>
        </w:rPr>
        <w:t>GENNEIA S.A.</w:t>
      </w:r>
    </w:p>
    <w:p w14:paraId="5BCB0BC6" w14:textId="77777777" w:rsidR="00C04B93" w:rsidRPr="001F7AF7" w:rsidRDefault="00C04B93" w:rsidP="00C04B93">
      <w:pPr>
        <w:ind w:right="-271"/>
        <w:rPr>
          <w:rFonts w:asciiTheme="minorHAnsi" w:eastAsia="Calibri" w:hAnsiTheme="minorHAnsi"/>
          <w:sz w:val="20"/>
        </w:rPr>
      </w:pPr>
    </w:p>
    <w:p w14:paraId="178F97CE" w14:textId="77777777" w:rsidR="00C04B93" w:rsidRPr="001F7AF7" w:rsidRDefault="00C04B93" w:rsidP="00C04B93">
      <w:pPr>
        <w:ind w:right="-271"/>
        <w:jc w:val="right"/>
        <w:rPr>
          <w:rFonts w:asciiTheme="minorHAnsi" w:eastAsia="Calibri" w:hAnsiTheme="minorHAnsi"/>
          <w:sz w:val="20"/>
        </w:rPr>
      </w:pPr>
      <w:r w:rsidRPr="001F7AF7">
        <w:rPr>
          <w:rFonts w:asciiTheme="minorHAnsi" w:eastAsia="Calibri" w:hAnsiTheme="minorHAnsi"/>
          <w:sz w:val="20"/>
        </w:rPr>
        <w:t xml:space="preserve">Ciudad Autónoma de Buenos Aires, </w:t>
      </w:r>
      <w:r w:rsidRPr="00AB6B54">
        <w:rPr>
          <w:rFonts w:asciiTheme="minorHAnsi" w:eastAsia="Calibri" w:hAnsiTheme="minorHAnsi" w:cstheme="minorHAnsi"/>
          <w:sz w:val="20"/>
          <w:szCs w:val="20"/>
        </w:rPr>
        <w:t>3</w:t>
      </w:r>
      <w:r w:rsidRPr="001F7AF7">
        <w:rPr>
          <w:rFonts w:asciiTheme="minorHAnsi" w:eastAsia="Calibri" w:hAnsiTheme="minorHAnsi"/>
          <w:sz w:val="20"/>
        </w:rPr>
        <w:t xml:space="preserve"> de </w:t>
      </w:r>
      <w:r w:rsidRPr="00AB6B54">
        <w:rPr>
          <w:rFonts w:asciiTheme="minorHAnsi" w:eastAsia="Calibri" w:hAnsiTheme="minorHAnsi" w:cstheme="minorHAnsi"/>
          <w:sz w:val="20"/>
          <w:szCs w:val="20"/>
        </w:rPr>
        <w:t>noviembre</w:t>
      </w:r>
      <w:r w:rsidRPr="001F7AF7">
        <w:rPr>
          <w:rFonts w:asciiTheme="minorHAnsi" w:eastAsia="Calibri" w:hAnsiTheme="minorHAnsi"/>
          <w:sz w:val="20"/>
        </w:rPr>
        <w:t xml:space="preserve"> de </w:t>
      </w:r>
      <w:r w:rsidRPr="00AB6B54">
        <w:rPr>
          <w:rFonts w:asciiTheme="minorHAnsi" w:eastAsia="Calibri" w:hAnsiTheme="minorHAnsi" w:cstheme="minorHAnsi"/>
          <w:sz w:val="20"/>
          <w:szCs w:val="20"/>
        </w:rPr>
        <w:t>2026</w:t>
      </w:r>
    </w:p>
    <w:p w14:paraId="7ABF6A63" w14:textId="77777777" w:rsidR="00C04B93" w:rsidRPr="001F7AF7" w:rsidRDefault="00C04B93" w:rsidP="00C04B93">
      <w:pPr>
        <w:ind w:right="-271"/>
        <w:jc w:val="both"/>
        <w:rPr>
          <w:rFonts w:asciiTheme="minorHAnsi" w:eastAsia="Calibri" w:hAnsiTheme="minorHAnsi"/>
          <w:sz w:val="20"/>
        </w:rPr>
      </w:pPr>
      <w:r w:rsidRPr="001F7AF7">
        <w:rPr>
          <w:rFonts w:asciiTheme="minorHAnsi" w:eastAsia="Calibri" w:hAnsiTheme="minorHAnsi"/>
          <w:sz w:val="20"/>
        </w:rPr>
        <w:t>Señores</w:t>
      </w:r>
    </w:p>
    <w:p w14:paraId="0BD5EB20" w14:textId="77777777" w:rsidR="00336714" w:rsidRPr="00AF639B" w:rsidRDefault="00336714" w:rsidP="00336714">
      <w:pPr>
        <w:spacing w:line="276" w:lineRule="auto"/>
        <w:rPr>
          <w:rFonts w:ascii="Calibri" w:hAnsi="Calibri" w:cs="Calibri"/>
          <w:b/>
          <w:bCs/>
          <w:sz w:val="20"/>
          <w:lang w:val="es-ES"/>
        </w:rPr>
      </w:pPr>
      <w:r w:rsidRPr="00AF639B">
        <w:rPr>
          <w:rFonts w:ascii="Calibri" w:hAnsi="Calibri" w:cs="Calibri"/>
          <w:b/>
          <w:bCs/>
          <w:sz w:val="20"/>
          <w:lang w:val="es-ES"/>
        </w:rPr>
        <w:t xml:space="preserve">Banco de Servicios y Transacciones </w:t>
      </w:r>
      <w:r>
        <w:rPr>
          <w:rFonts w:ascii="Calibri" w:hAnsi="Calibri" w:cs="Calibri"/>
          <w:b/>
          <w:bCs/>
          <w:sz w:val="20"/>
          <w:lang w:val="es-ES"/>
        </w:rPr>
        <w:t xml:space="preserve">S.A.U. </w:t>
      </w:r>
      <w:r w:rsidRPr="00AF639B">
        <w:rPr>
          <w:rFonts w:ascii="Calibri" w:hAnsi="Calibri" w:cs="Calibri"/>
          <w:b/>
          <w:bCs/>
          <w:sz w:val="20"/>
          <w:lang w:val="es-ES"/>
        </w:rPr>
        <w:t>en su carácter de Colocador</w:t>
      </w:r>
    </w:p>
    <w:p w14:paraId="195D5783" w14:textId="77777777" w:rsidR="00C04B93" w:rsidRPr="001F7AF7" w:rsidRDefault="00C04B93" w:rsidP="00C04B93">
      <w:pPr>
        <w:keepNext/>
        <w:pBdr>
          <w:top w:val="nil"/>
          <w:left w:val="nil"/>
          <w:bottom w:val="nil"/>
          <w:right w:val="nil"/>
          <w:between w:val="nil"/>
        </w:pBdr>
        <w:ind w:right="-271"/>
        <w:rPr>
          <w:rFonts w:asciiTheme="minorHAnsi" w:eastAsia="Calibri" w:hAnsiTheme="minorHAnsi"/>
          <w:b/>
          <w:color w:val="000000"/>
          <w:sz w:val="20"/>
          <w:u w:val="single"/>
        </w:rPr>
      </w:pPr>
    </w:p>
    <w:p w14:paraId="2CF306EC" w14:textId="77777777" w:rsidR="00C04B93" w:rsidRPr="001F7AF7" w:rsidRDefault="00C04B93" w:rsidP="00C04B93">
      <w:pPr>
        <w:keepNext/>
        <w:pBdr>
          <w:top w:val="nil"/>
          <w:left w:val="nil"/>
          <w:bottom w:val="nil"/>
          <w:right w:val="nil"/>
          <w:between w:val="nil"/>
        </w:pBdr>
        <w:ind w:right="-271"/>
        <w:rPr>
          <w:rFonts w:asciiTheme="minorHAnsi" w:eastAsia="Calibri" w:hAnsiTheme="minorHAnsi"/>
          <w:color w:val="000000"/>
          <w:sz w:val="20"/>
          <w:u w:val="single"/>
        </w:rPr>
      </w:pPr>
      <w:r w:rsidRPr="001F7AF7">
        <w:rPr>
          <w:rFonts w:asciiTheme="minorHAnsi" w:eastAsia="Calibri" w:hAnsiTheme="minorHAnsi"/>
          <w:b/>
          <w:color w:val="000000"/>
          <w:sz w:val="20"/>
          <w:u w:val="single"/>
        </w:rPr>
        <w:t>Presente</w:t>
      </w:r>
    </w:p>
    <w:p w14:paraId="025D4668" w14:textId="77777777" w:rsidR="00C04B93" w:rsidRPr="001F7AF7" w:rsidRDefault="00C04B93" w:rsidP="00C04B93">
      <w:pPr>
        <w:ind w:right="-271"/>
        <w:jc w:val="both"/>
        <w:rPr>
          <w:rFonts w:asciiTheme="minorHAnsi" w:eastAsia="Calibri" w:hAnsiTheme="minorHAnsi"/>
          <w:sz w:val="20"/>
        </w:rPr>
      </w:pPr>
    </w:p>
    <w:p w14:paraId="4F62BFE0" w14:textId="77777777" w:rsidR="00C04B93" w:rsidRPr="001F7AF7" w:rsidRDefault="00C04B93" w:rsidP="00C04B93">
      <w:pPr>
        <w:pBdr>
          <w:top w:val="nil"/>
          <w:left w:val="nil"/>
          <w:bottom w:val="nil"/>
          <w:right w:val="nil"/>
          <w:between w:val="nil"/>
        </w:pBdr>
        <w:ind w:left="4140"/>
        <w:jc w:val="both"/>
        <w:rPr>
          <w:rFonts w:asciiTheme="minorHAnsi" w:eastAsia="Calibri" w:hAnsiTheme="minorHAnsi"/>
          <w:b/>
          <w:smallCaps/>
          <w:color w:val="000000"/>
          <w:sz w:val="20"/>
        </w:rPr>
      </w:pPr>
      <w:r w:rsidRPr="001F7AF7">
        <w:rPr>
          <w:rFonts w:asciiTheme="minorHAnsi" w:eastAsia="Calibri" w:hAnsiTheme="minorHAnsi"/>
          <w:b/>
          <w:smallCaps/>
          <w:color w:val="000000"/>
          <w:sz w:val="20"/>
          <w:u w:val="single"/>
        </w:rPr>
        <w:t>Ref</w:t>
      </w:r>
      <w:r w:rsidRPr="001F7AF7">
        <w:rPr>
          <w:rFonts w:asciiTheme="minorHAnsi" w:eastAsia="Calibri" w:hAnsiTheme="minorHAnsi"/>
          <w:b/>
          <w:smallCaps/>
          <w:color w:val="000000"/>
          <w:sz w:val="20"/>
        </w:rPr>
        <w:t>.:</w:t>
      </w:r>
      <w:r w:rsidRPr="001F7AF7">
        <w:rPr>
          <w:rFonts w:asciiTheme="minorHAnsi" w:eastAsia="Calibri" w:hAnsiTheme="minorHAnsi"/>
          <w:b/>
          <w:smallCaps/>
          <w:color w:val="000000"/>
          <w:sz w:val="20"/>
        </w:rPr>
        <w:tab/>
      </w:r>
      <w:r>
        <w:rPr>
          <w:rFonts w:asciiTheme="minorHAnsi" w:eastAsia="Calibri" w:hAnsiTheme="minorHAnsi" w:cstheme="minorHAnsi"/>
          <w:b/>
          <w:bCs/>
          <w:smallCaps/>
          <w:color w:val="000000"/>
          <w:sz w:val="20"/>
          <w:szCs w:val="20"/>
        </w:rPr>
        <w:t>ORDEN</w:t>
      </w:r>
      <w:r w:rsidRPr="001F7AF7">
        <w:rPr>
          <w:rFonts w:asciiTheme="minorHAnsi" w:eastAsia="Calibri" w:hAnsiTheme="minorHAnsi"/>
          <w:b/>
          <w:smallCaps/>
          <w:color w:val="000000"/>
          <w:sz w:val="20"/>
        </w:rPr>
        <w:t xml:space="preserve"> DE </w:t>
      </w:r>
      <w:r>
        <w:rPr>
          <w:rFonts w:asciiTheme="minorHAnsi" w:eastAsia="Calibri" w:hAnsiTheme="minorHAnsi" w:cstheme="minorHAnsi"/>
          <w:b/>
          <w:bCs/>
          <w:smallCaps/>
          <w:color w:val="000000"/>
          <w:sz w:val="20"/>
          <w:szCs w:val="20"/>
        </w:rPr>
        <w:t>SUSCRIPCIÓN</w:t>
      </w:r>
      <w:r w:rsidRPr="001F7AF7">
        <w:rPr>
          <w:rFonts w:asciiTheme="minorHAnsi" w:eastAsia="Calibri" w:hAnsiTheme="minorHAnsi"/>
          <w:b/>
          <w:smallCaps/>
          <w:color w:val="000000"/>
          <w:sz w:val="20"/>
        </w:rPr>
        <w:t xml:space="preserve"> – OBLIGACIONES NEGOCIABLES </w:t>
      </w:r>
      <w:r w:rsidRPr="00AB6B54">
        <w:rPr>
          <w:rFonts w:asciiTheme="minorHAnsi" w:eastAsia="Calibri" w:hAnsiTheme="minorHAnsi" w:cstheme="minorHAnsi"/>
          <w:b/>
          <w:bCs/>
          <w:smallCaps/>
          <w:color w:val="000000"/>
          <w:sz w:val="20"/>
          <w:szCs w:val="20"/>
        </w:rPr>
        <w:t>CLASE L</w:t>
      </w:r>
      <w:r w:rsidRPr="001F7AF7">
        <w:rPr>
          <w:rFonts w:asciiTheme="minorHAnsi" w:eastAsia="Calibri" w:hAnsiTheme="minorHAnsi"/>
          <w:b/>
          <w:smallCaps/>
          <w:color w:val="000000"/>
          <w:sz w:val="20"/>
        </w:rPr>
        <w:t xml:space="preserve"> DE GENNEIA S.A. </w:t>
      </w:r>
    </w:p>
    <w:p w14:paraId="1A67C1C8" w14:textId="77777777" w:rsidR="00C04B93" w:rsidRPr="001F7AF7" w:rsidRDefault="00C04B93" w:rsidP="00C04B93">
      <w:pPr>
        <w:ind w:left="4350" w:right="-271" w:hanging="450"/>
        <w:jc w:val="both"/>
        <w:rPr>
          <w:rFonts w:asciiTheme="minorHAnsi" w:eastAsia="Calibri" w:hAnsiTheme="minorHAnsi"/>
          <w:sz w:val="20"/>
        </w:rPr>
      </w:pPr>
    </w:p>
    <w:p w14:paraId="1981D220" w14:textId="77777777" w:rsidR="00C04B93" w:rsidRPr="001F7AF7" w:rsidRDefault="00C04B93" w:rsidP="00C04B93">
      <w:pPr>
        <w:ind w:right="-271"/>
        <w:jc w:val="both"/>
        <w:rPr>
          <w:rFonts w:asciiTheme="minorHAnsi" w:eastAsia="Calibri" w:hAnsiTheme="minorHAnsi"/>
          <w:sz w:val="20"/>
        </w:rPr>
      </w:pPr>
      <w:r w:rsidRPr="001F7AF7">
        <w:rPr>
          <w:rFonts w:asciiTheme="minorHAnsi" w:eastAsia="Calibri" w:hAnsiTheme="minorHAnsi"/>
          <w:sz w:val="20"/>
        </w:rPr>
        <w:t>De mi mayor consideración:</w:t>
      </w:r>
    </w:p>
    <w:p w14:paraId="2466DF82" w14:textId="77777777" w:rsidR="00C04B93" w:rsidRPr="001F7AF7" w:rsidRDefault="00C04B93" w:rsidP="00C04B93">
      <w:pPr>
        <w:rPr>
          <w:rFonts w:asciiTheme="minorHAnsi" w:eastAsia="Calibri" w:hAnsiTheme="minorHAnsi"/>
          <w:sz w:val="20"/>
        </w:rPr>
      </w:pPr>
    </w:p>
    <w:p w14:paraId="19993574" w14:textId="57EEC79F" w:rsidR="00C04B93" w:rsidRPr="00E72D98" w:rsidRDefault="00C04B93" w:rsidP="00C04B93">
      <w:pPr>
        <w:widowControl w:val="0"/>
        <w:jc w:val="both"/>
        <w:rPr>
          <w:rFonts w:asciiTheme="minorHAnsi" w:eastAsia="Calibri" w:hAnsiTheme="minorHAnsi"/>
          <w:sz w:val="20"/>
        </w:rPr>
      </w:pPr>
      <w:r w:rsidRPr="001F7AF7">
        <w:rPr>
          <w:rFonts w:asciiTheme="minorHAnsi" w:eastAsia="Calibri" w:hAnsiTheme="minorHAnsi"/>
          <w:sz w:val="20"/>
        </w:rPr>
        <w:t>Por medio de la presente el abajo firmante (el “</w:t>
      </w:r>
      <w:r w:rsidRPr="001F7AF7">
        <w:rPr>
          <w:rFonts w:asciiTheme="minorHAnsi" w:eastAsia="Calibri" w:hAnsiTheme="minorHAnsi"/>
          <w:b/>
          <w:sz w:val="20"/>
          <w:u w:val="single"/>
        </w:rPr>
        <w:t>Inversor</w:t>
      </w:r>
      <w:r w:rsidRPr="001F7AF7">
        <w:rPr>
          <w:rFonts w:asciiTheme="minorHAnsi" w:eastAsia="Calibri" w:hAnsiTheme="minorHAnsi"/>
          <w:sz w:val="20"/>
        </w:rPr>
        <w:t xml:space="preserve">”) tiene el agrado de dirigirse a </w:t>
      </w:r>
      <w:r w:rsidR="00336714">
        <w:rPr>
          <w:rFonts w:ascii="Calibri" w:hAnsi="Calibri" w:cs="Calibri"/>
          <w:sz w:val="20"/>
          <w:lang w:val="es-ES"/>
        </w:rPr>
        <w:t>Banco de Servicios y Transacciones S.A.U.</w:t>
      </w:r>
      <w:r w:rsidRPr="001F7AF7">
        <w:rPr>
          <w:rFonts w:asciiTheme="minorHAnsi" w:eastAsia="Calibri" w:hAnsiTheme="minorHAnsi"/>
          <w:sz w:val="20"/>
        </w:rPr>
        <w:t xml:space="preserve"> (el “</w:t>
      </w:r>
      <w:r w:rsidRPr="001F7AF7">
        <w:rPr>
          <w:rFonts w:asciiTheme="minorHAnsi" w:eastAsia="Calibri" w:hAnsiTheme="minorHAnsi"/>
          <w:b/>
          <w:sz w:val="20"/>
          <w:u w:val="single"/>
        </w:rPr>
        <w:t>Colocador</w:t>
      </w:r>
      <w:r w:rsidRPr="001F7AF7">
        <w:rPr>
          <w:rFonts w:asciiTheme="minorHAnsi" w:eastAsia="Calibri" w:hAnsiTheme="minorHAnsi"/>
          <w:sz w:val="20"/>
        </w:rPr>
        <w:t xml:space="preserve">”), en relación con la emisión de </w:t>
      </w:r>
      <w:r w:rsidRPr="001F7AF7">
        <w:rPr>
          <w:rFonts w:asciiTheme="minorHAnsi" w:eastAsia="Calibri" w:hAnsiTheme="minorHAnsi"/>
          <w:color w:val="000000"/>
          <w:sz w:val="20"/>
        </w:rPr>
        <w:t xml:space="preserve">las obligaciones negociables </w:t>
      </w:r>
      <w:r w:rsidRPr="00AB6B54">
        <w:rPr>
          <w:rFonts w:asciiTheme="minorHAnsi" w:eastAsia="Calibri" w:hAnsiTheme="minorHAnsi" w:cstheme="minorHAnsi"/>
          <w:color w:val="000000"/>
          <w:sz w:val="20"/>
          <w:szCs w:val="20"/>
        </w:rPr>
        <w:t xml:space="preserve">simples (no convertibles en acciones) </w:t>
      </w:r>
      <w:r w:rsidRPr="001F7AF7">
        <w:rPr>
          <w:rFonts w:asciiTheme="minorHAnsi" w:eastAsia="Calibri" w:hAnsiTheme="minorHAnsi"/>
          <w:color w:val="000000"/>
          <w:sz w:val="20"/>
        </w:rPr>
        <w:t xml:space="preserve">clase </w:t>
      </w:r>
      <w:r w:rsidRPr="00AB6B54">
        <w:rPr>
          <w:rFonts w:asciiTheme="minorHAnsi" w:eastAsia="Calibri" w:hAnsiTheme="minorHAnsi" w:cstheme="minorHAnsi"/>
          <w:color w:val="000000"/>
          <w:sz w:val="20"/>
          <w:szCs w:val="20"/>
        </w:rPr>
        <w:t>L,</w:t>
      </w:r>
      <w:r w:rsidRPr="001F7AF7">
        <w:rPr>
          <w:rFonts w:asciiTheme="minorHAnsi" w:eastAsia="Calibri" w:hAnsiTheme="minorHAnsi"/>
          <w:color w:val="000000"/>
          <w:sz w:val="20"/>
        </w:rPr>
        <w:t xml:space="preserve"> denominadas</w:t>
      </w:r>
      <w:r w:rsidRPr="00AB6B54">
        <w:rPr>
          <w:rFonts w:asciiTheme="minorHAnsi" w:eastAsia="Calibri" w:hAnsiTheme="minorHAnsi" w:cstheme="minorHAnsi"/>
          <w:color w:val="000000"/>
          <w:sz w:val="20"/>
          <w:szCs w:val="20"/>
        </w:rPr>
        <w:t xml:space="preserve">, a ser integradas </w:t>
      </w:r>
      <w:r w:rsidRPr="001F7AF7">
        <w:rPr>
          <w:rFonts w:asciiTheme="minorHAnsi" w:eastAsia="Calibri" w:hAnsiTheme="minorHAnsi"/>
          <w:color w:val="000000"/>
          <w:sz w:val="20"/>
        </w:rPr>
        <w:t xml:space="preserve">y pagaderas en Dólares Estadounidenses en Argentina, a </w:t>
      </w:r>
      <w:r w:rsidRPr="00E72D98">
        <w:rPr>
          <w:rFonts w:asciiTheme="minorHAnsi" w:eastAsia="Calibri" w:hAnsiTheme="minorHAnsi"/>
          <w:color w:val="000000"/>
          <w:sz w:val="20"/>
        </w:rPr>
        <w:t>tasa de interés fija nominal anual a licitar, con vencimiento a los 36 meses contados desde la Fecha de Emisión y Liquidación (la “</w:t>
      </w:r>
      <w:r w:rsidRPr="00E72D98">
        <w:rPr>
          <w:rFonts w:asciiTheme="minorHAnsi" w:eastAsia="Calibri" w:hAnsiTheme="minorHAnsi"/>
          <w:b/>
          <w:color w:val="000000"/>
          <w:sz w:val="20"/>
          <w:u w:val="single"/>
        </w:rPr>
        <w:t>Fecha de Vencimiento</w:t>
      </w:r>
      <w:r w:rsidRPr="00E72D98">
        <w:rPr>
          <w:rFonts w:asciiTheme="minorHAnsi" w:eastAsia="Calibri" w:hAnsiTheme="minorHAnsi"/>
          <w:color w:val="000000"/>
          <w:sz w:val="20"/>
        </w:rPr>
        <w:t xml:space="preserve">"), a ser emitidas por un valor nominal de hasta US$ </w:t>
      </w:r>
      <w:r w:rsidRPr="00AB6B54">
        <w:rPr>
          <w:rFonts w:asciiTheme="minorHAnsi" w:eastAsia="Calibri" w:hAnsiTheme="minorHAnsi" w:cstheme="minorHAnsi"/>
          <w:color w:val="000000"/>
          <w:sz w:val="20"/>
          <w:szCs w:val="20"/>
        </w:rPr>
        <w:t>30</w:t>
      </w:r>
      <w:r w:rsidRPr="00E72D98">
        <w:rPr>
          <w:rFonts w:asciiTheme="minorHAnsi" w:eastAsia="Calibri" w:hAnsiTheme="minorHAnsi"/>
          <w:color w:val="000000"/>
          <w:sz w:val="20"/>
        </w:rPr>
        <w:t xml:space="preserve">.000.000 (Dólares Estadounidenses </w:t>
      </w:r>
      <w:r w:rsidRPr="00AB6B54">
        <w:rPr>
          <w:rFonts w:asciiTheme="minorHAnsi" w:eastAsia="Calibri" w:hAnsiTheme="minorHAnsi" w:cstheme="minorHAnsi"/>
          <w:color w:val="000000"/>
          <w:sz w:val="20"/>
          <w:szCs w:val="20"/>
        </w:rPr>
        <w:t>treinta</w:t>
      </w:r>
      <w:r w:rsidRPr="00E72D98">
        <w:rPr>
          <w:rFonts w:asciiTheme="minorHAnsi" w:eastAsia="Calibri" w:hAnsiTheme="minorHAnsi"/>
          <w:color w:val="000000"/>
          <w:sz w:val="20"/>
        </w:rPr>
        <w:t xml:space="preserve"> millones) ampliable hasta </w:t>
      </w:r>
      <w:r w:rsidRPr="00AB6B54">
        <w:rPr>
          <w:rFonts w:asciiTheme="minorHAnsi" w:eastAsia="Calibri" w:hAnsiTheme="minorHAnsi" w:cstheme="minorHAnsi"/>
          <w:color w:val="000000"/>
          <w:sz w:val="20"/>
          <w:szCs w:val="20"/>
        </w:rPr>
        <w:t>el monto máximo disponible bajo el Régimen de Emisor Frecuente</w:t>
      </w:r>
      <w:r w:rsidRPr="00E72D98">
        <w:rPr>
          <w:rFonts w:asciiTheme="minorHAnsi" w:eastAsia="Calibri" w:hAnsiTheme="minorHAnsi"/>
          <w:color w:val="000000"/>
          <w:sz w:val="20"/>
        </w:rPr>
        <w:t xml:space="preserve"> (el “</w:t>
      </w:r>
      <w:r w:rsidRPr="00E72D98">
        <w:rPr>
          <w:rFonts w:asciiTheme="minorHAnsi" w:eastAsia="Calibri" w:hAnsiTheme="minorHAnsi"/>
          <w:b/>
          <w:color w:val="000000"/>
          <w:sz w:val="20"/>
          <w:u w:val="single"/>
        </w:rPr>
        <w:t>Monto Máximo</w:t>
      </w:r>
      <w:r w:rsidRPr="00E72D98">
        <w:rPr>
          <w:rFonts w:asciiTheme="minorHAnsi" w:eastAsia="Calibri" w:hAnsiTheme="minorHAnsi"/>
          <w:color w:val="000000"/>
          <w:sz w:val="20"/>
        </w:rPr>
        <w:t>”), cuyo capital será repagado en una única cuota en la Fecha de Vencimiento (las “</w:t>
      </w:r>
      <w:r w:rsidRPr="00E72D98">
        <w:rPr>
          <w:rFonts w:asciiTheme="minorHAnsi" w:eastAsia="Calibri" w:hAnsiTheme="minorHAnsi"/>
          <w:b/>
          <w:color w:val="000000"/>
          <w:sz w:val="20"/>
          <w:u w:val="single"/>
        </w:rPr>
        <w:t xml:space="preserve">Obligaciones Negociables Clase </w:t>
      </w:r>
      <w:r w:rsidRPr="00AB6B54">
        <w:rPr>
          <w:rFonts w:asciiTheme="minorHAnsi" w:eastAsia="Calibri" w:hAnsiTheme="minorHAnsi" w:cstheme="minorHAnsi"/>
          <w:b/>
          <w:bCs/>
          <w:color w:val="000000"/>
          <w:sz w:val="20"/>
          <w:szCs w:val="20"/>
          <w:u w:val="single"/>
        </w:rPr>
        <w:t>L</w:t>
      </w:r>
      <w:r w:rsidRPr="00E72D98">
        <w:rPr>
          <w:rFonts w:asciiTheme="minorHAnsi" w:eastAsia="Calibri" w:hAnsiTheme="minorHAnsi"/>
          <w:color w:val="000000"/>
          <w:sz w:val="20"/>
        </w:rPr>
        <w:t>” o las “</w:t>
      </w:r>
      <w:r w:rsidRPr="00E72D98">
        <w:rPr>
          <w:rFonts w:asciiTheme="minorHAnsi" w:eastAsia="Calibri" w:hAnsiTheme="minorHAnsi"/>
          <w:b/>
          <w:color w:val="000000"/>
          <w:sz w:val="20"/>
          <w:u w:val="single"/>
        </w:rPr>
        <w:t>Obligaciones Negociables</w:t>
      </w:r>
      <w:r w:rsidRPr="00E72D98">
        <w:rPr>
          <w:rFonts w:asciiTheme="minorHAnsi" w:eastAsia="Calibri" w:hAnsiTheme="minorHAnsi"/>
          <w:color w:val="000000"/>
          <w:sz w:val="20"/>
        </w:rPr>
        <w:t xml:space="preserve">”); a ser emitidas por </w:t>
      </w:r>
      <w:proofErr w:type="spellStart"/>
      <w:r w:rsidRPr="00E72D98">
        <w:rPr>
          <w:rFonts w:asciiTheme="minorHAnsi" w:eastAsia="Calibri" w:hAnsiTheme="minorHAnsi"/>
          <w:b/>
          <w:sz w:val="20"/>
        </w:rPr>
        <w:t>Genneia</w:t>
      </w:r>
      <w:proofErr w:type="spellEnd"/>
      <w:r w:rsidRPr="00E72D98">
        <w:rPr>
          <w:rFonts w:asciiTheme="minorHAnsi" w:eastAsia="Calibri" w:hAnsiTheme="minorHAnsi"/>
          <w:b/>
          <w:sz w:val="20"/>
        </w:rPr>
        <w:t xml:space="preserve"> S.A.</w:t>
      </w:r>
      <w:r w:rsidRPr="00E72D98">
        <w:rPr>
          <w:rFonts w:asciiTheme="minorHAnsi" w:eastAsia="Calibri" w:hAnsiTheme="minorHAnsi"/>
          <w:sz w:val="20"/>
        </w:rPr>
        <w:t>, en carácter de emisora (la “</w:t>
      </w:r>
      <w:r w:rsidRPr="00E72D98">
        <w:rPr>
          <w:rFonts w:asciiTheme="minorHAnsi" w:eastAsia="Calibri" w:hAnsiTheme="minorHAnsi"/>
          <w:b/>
          <w:sz w:val="20"/>
          <w:u w:val="single"/>
        </w:rPr>
        <w:t>Emisora</w:t>
      </w:r>
      <w:r w:rsidRPr="00E72D98">
        <w:rPr>
          <w:rFonts w:asciiTheme="minorHAnsi" w:eastAsia="Calibri" w:hAnsiTheme="minorHAnsi"/>
          <w:sz w:val="20"/>
        </w:rPr>
        <w:t xml:space="preserve">”) </w:t>
      </w:r>
      <w:r w:rsidRPr="00E72D98">
        <w:rPr>
          <w:rFonts w:asciiTheme="minorHAnsi" w:eastAsia="Calibri" w:hAnsiTheme="minorHAnsi"/>
          <w:color w:val="000000"/>
          <w:sz w:val="20"/>
        </w:rPr>
        <w:t>bajo el Régimen Simplificado de Emisor Frecuente de la Comisión Nacional de Valores (la “</w:t>
      </w:r>
      <w:r w:rsidRPr="00E72D98">
        <w:rPr>
          <w:rFonts w:asciiTheme="minorHAnsi" w:eastAsia="Calibri" w:hAnsiTheme="minorHAnsi"/>
          <w:b/>
          <w:color w:val="000000"/>
          <w:sz w:val="20"/>
          <w:u w:val="single"/>
        </w:rPr>
        <w:t>CNV</w:t>
      </w:r>
      <w:r w:rsidRPr="00E72D98">
        <w:rPr>
          <w:rFonts w:asciiTheme="minorHAnsi" w:eastAsia="Calibri" w:hAnsiTheme="minorHAnsi"/>
          <w:color w:val="000000"/>
          <w:sz w:val="20"/>
        </w:rPr>
        <w:t xml:space="preserve">”), establecido en la Sección </w:t>
      </w:r>
      <w:r w:rsidRPr="00AB6B54">
        <w:rPr>
          <w:rFonts w:asciiTheme="minorHAnsi" w:eastAsia="Calibri" w:hAnsiTheme="minorHAnsi" w:cstheme="minorHAnsi"/>
          <w:color w:val="000000"/>
          <w:sz w:val="20"/>
          <w:szCs w:val="20"/>
        </w:rPr>
        <w:t>VI</w:t>
      </w:r>
      <w:r w:rsidRPr="00E72D98">
        <w:rPr>
          <w:rFonts w:asciiTheme="minorHAnsi" w:eastAsia="Calibri" w:hAnsiTheme="minorHAnsi"/>
          <w:color w:val="000000"/>
          <w:sz w:val="20"/>
        </w:rPr>
        <w:t xml:space="preserve">, Capítulo V, Título II de las normas de la CNV conforme el texto ordenado por su Resolución General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622/2013</w:t>
      </w:r>
      <w:r w:rsidRPr="00E72D98">
        <w:rPr>
          <w:rFonts w:asciiTheme="minorHAnsi" w:eastAsia="Calibri" w:hAnsiTheme="minorHAnsi"/>
          <w:sz w:val="20"/>
        </w:rPr>
        <w:t xml:space="preserve"> (el “</w:t>
      </w:r>
      <w:r w:rsidRPr="00E72D98">
        <w:rPr>
          <w:rFonts w:asciiTheme="minorHAnsi" w:eastAsia="Calibri" w:hAnsiTheme="minorHAnsi"/>
          <w:b/>
          <w:sz w:val="20"/>
          <w:u w:val="single"/>
        </w:rPr>
        <w:t>Régimen de Emisor Frecuente</w:t>
      </w:r>
      <w:r w:rsidRPr="00E72D98">
        <w:rPr>
          <w:rFonts w:asciiTheme="minorHAnsi" w:eastAsia="Calibri" w:hAnsiTheme="minorHAnsi"/>
          <w:sz w:val="20"/>
        </w:rPr>
        <w:t>” y las “</w:t>
      </w:r>
      <w:r w:rsidRPr="00E72D98">
        <w:rPr>
          <w:rFonts w:asciiTheme="minorHAnsi" w:eastAsia="Calibri" w:hAnsiTheme="minorHAnsi"/>
          <w:b/>
          <w:sz w:val="20"/>
          <w:u w:val="single"/>
        </w:rPr>
        <w:t>Normas de la CNV</w:t>
      </w:r>
      <w:r w:rsidRPr="00E72D98">
        <w:rPr>
          <w:rFonts w:asciiTheme="minorHAnsi" w:eastAsia="Calibri" w:hAnsiTheme="minorHAnsi"/>
          <w:sz w:val="20"/>
        </w:rPr>
        <w:t xml:space="preserve">”, respectivamente), de acuerdo con los términos y condiciones establecidos en: (i) el prospecto de fecha </w:t>
      </w:r>
      <w:r w:rsidRPr="00AB6B54">
        <w:rPr>
          <w:rFonts w:asciiTheme="minorHAnsi" w:eastAsia="Calibri" w:hAnsiTheme="minorHAnsi" w:cstheme="minorHAnsi"/>
          <w:sz w:val="20"/>
          <w:szCs w:val="20"/>
        </w:rPr>
        <w:t>21</w:t>
      </w:r>
      <w:r w:rsidRPr="00E72D98">
        <w:rPr>
          <w:rFonts w:asciiTheme="minorHAnsi" w:eastAsia="Calibri" w:hAnsiTheme="minorHAnsi"/>
          <w:sz w:val="20"/>
        </w:rPr>
        <w:t xml:space="preserve"> de mayo de </w:t>
      </w:r>
      <w:r w:rsidRPr="00AB6B54">
        <w:rPr>
          <w:rFonts w:asciiTheme="minorHAnsi" w:eastAsia="Calibri" w:hAnsiTheme="minorHAnsi" w:cstheme="minorHAnsi"/>
          <w:sz w:val="20"/>
          <w:szCs w:val="20"/>
        </w:rPr>
        <w:t>2026</w:t>
      </w:r>
      <w:r w:rsidRPr="00E72D98">
        <w:rPr>
          <w:rFonts w:asciiTheme="minorHAnsi" w:eastAsia="Calibri" w:hAnsiTheme="minorHAnsi"/>
          <w:sz w:val="20"/>
        </w:rPr>
        <w:t xml:space="preserve"> bajo el Régimen de Emisor Frecuente, conforme fuera enmendado en fecha </w:t>
      </w:r>
      <w:r w:rsidRPr="00AB6B54">
        <w:rPr>
          <w:rFonts w:asciiTheme="minorHAnsi" w:eastAsia="Calibri" w:hAnsiTheme="minorHAnsi" w:cstheme="minorHAnsi"/>
          <w:sz w:val="20"/>
          <w:szCs w:val="20"/>
        </w:rPr>
        <w:t>12</w:t>
      </w:r>
      <w:r w:rsidRPr="00E72D98">
        <w:rPr>
          <w:rFonts w:asciiTheme="minorHAnsi" w:eastAsia="Calibri" w:hAnsiTheme="minorHAnsi"/>
          <w:sz w:val="20"/>
        </w:rPr>
        <w:t xml:space="preserve"> de </w:t>
      </w:r>
      <w:r w:rsidRPr="00AB6B54">
        <w:rPr>
          <w:rFonts w:asciiTheme="minorHAnsi" w:eastAsia="Calibri" w:hAnsiTheme="minorHAnsi" w:cstheme="minorHAnsi"/>
          <w:sz w:val="20"/>
          <w:szCs w:val="20"/>
        </w:rPr>
        <w:t>junio</w:t>
      </w:r>
      <w:r w:rsidRPr="00E72D98">
        <w:rPr>
          <w:rFonts w:asciiTheme="minorHAnsi" w:eastAsia="Calibri" w:hAnsiTheme="minorHAnsi"/>
          <w:sz w:val="20"/>
        </w:rPr>
        <w:t xml:space="preserve"> de </w:t>
      </w:r>
      <w:r w:rsidRPr="00AB6B54">
        <w:rPr>
          <w:rFonts w:asciiTheme="minorHAnsi" w:eastAsia="Calibri" w:hAnsiTheme="minorHAnsi" w:cstheme="minorHAnsi"/>
          <w:sz w:val="20"/>
          <w:szCs w:val="20"/>
        </w:rPr>
        <w:t>2026</w:t>
      </w:r>
      <w:r w:rsidRPr="00E72D98">
        <w:rPr>
          <w:rFonts w:asciiTheme="minorHAnsi" w:eastAsia="Calibri" w:hAnsiTheme="minorHAnsi"/>
          <w:sz w:val="20"/>
        </w:rPr>
        <w:t xml:space="preserve"> (el “</w:t>
      </w:r>
      <w:r w:rsidRPr="00E72D98">
        <w:rPr>
          <w:rFonts w:asciiTheme="minorHAnsi" w:eastAsia="Calibri" w:hAnsiTheme="minorHAnsi"/>
          <w:b/>
          <w:sz w:val="20"/>
          <w:u w:val="single"/>
        </w:rPr>
        <w:t>Prospecto</w:t>
      </w:r>
      <w:r w:rsidRPr="00E72D98">
        <w:rPr>
          <w:rFonts w:asciiTheme="minorHAnsi" w:eastAsia="Calibri" w:hAnsiTheme="minorHAnsi"/>
          <w:sz w:val="20"/>
        </w:rPr>
        <w:t>”), (</w:t>
      </w:r>
      <w:proofErr w:type="spellStart"/>
      <w:r w:rsidRPr="00E72D98">
        <w:rPr>
          <w:rFonts w:asciiTheme="minorHAnsi" w:eastAsia="Calibri" w:hAnsiTheme="minorHAnsi"/>
          <w:sz w:val="20"/>
        </w:rPr>
        <w:t>ii</w:t>
      </w:r>
      <w:proofErr w:type="spellEnd"/>
      <w:r w:rsidRPr="00E72D98">
        <w:rPr>
          <w:rFonts w:asciiTheme="minorHAnsi" w:eastAsia="Calibri" w:hAnsiTheme="minorHAnsi"/>
          <w:sz w:val="20"/>
        </w:rPr>
        <w:t xml:space="preserve">) el </w:t>
      </w:r>
      <w:r w:rsidRPr="00AB6B54">
        <w:rPr>
          <w:rFonts w:asciiTheme="minorHAnsi" w:eastAsia="Calibri" w:hAnsiTheme="minorHAnsi" w:cstheme="minorHAnsi"/>
          <w:sz w:val="20"/>
          <w:szCs w:val="20"/>
        </w:rPr>
        <w:t>suplemento de prospecto de fecha 29 de octubre de 2026 (el “</w:t>
      </w:r>
      <w:r>
        <w:rPr>
          <w:rFonts w:asciiTheme="minorHAnsi" w:eastAsia="Calibri" w:hAnsiTheme="minorHAnsi" w:cstheme="minorHAnsi"/>
          <w:b/>
          <w:sz w:val="20"/>
          <w:szCs w:val="20"/>
          <w:u w:val="single"/>
        </w:rPr>
        <w:t>Suplemento</w:t>
      </w:r>
      <w:r w:rsidRPr="00AB6B54">
        <w:rPr>
          <w:rFonts w:asciiTheme="minorHAnsi" w:eastAsia="Calibri" w:hAnsiTheme="minorHAnsi" w:cstheme="minorHAnsi"/>
          <w:sz w:val="20"/>
          <w:szCs w:val="20"/>
        </w:rPr>
        <w:t>”), y (iii) el aviso de suscripción de fecha 29 de octubre de 2026 (el “</w:t>
      </w:r>
      <w:r w:rsidRPr="00AB6B54">
        <w:rPr>
          <w:rFonts w:asciiTheme="minorHAnsi" w:eastAsia="Calibri" w:hAnsiTheme="minorHAnsi" w:cstheme="minorHAnsi"/>
          <w:b/>
          <w:sz w:val="20"/>
          <w:szCs w:val="20"/>
          <w:u w:val="single"/>
        </w:rPr>
        <w:t>Aviso de Suscripción</w:t>
      </w:r>
      <w:r>
        <w:rPr>
          <w:rFonts w:asciiTheme="minorHAnsi" w:eastAsia="Calibri" w:hAnsiTheme="minorHAnsi" w:cstheme="minorHAnsi"/>
          <w:sz w:val="20"/>
          <w:szCs w:val="20"/>
        </w:rPr>
        <w:t>” y junto con el Prospecto, el Suplemento y demás documentación relacionada, los “</w:t>
      </w:r>
      <w:r w:rsidRPr="00AB6B54">
        <w:rPr>
          <w:rFonts w:asciiTheme="minorHAnsi" w:eastAsia="Calibri" w:hAnsiTheme="minorHAnsi" w:cstheme="minorHAnsi"/>
          <w:b/>
          <w:sz w:val="20"/>
          <w:szCs w:val="20"/>
          <w:u w:val="single"/>
        </w:rPr>
        <w:t>Documentos de la Oferta</w:t>
      </w:r>
      <w:r w:rsidRPr="00AB6B54">
        <w:rPr>
          <w:rFonts w:asciiTheme="minorHAnsi" w:eastAsia="Calibri" w:hAnsiTheme="minorHAnsi" w:cstheme="minorHAnsi"/>
          <w:sz w:val="20"/>
          <w:szCs w:val="20"/>
        </w:rPr>
        <w:t xml:space="preserve">”), todos ellos publicados en las mismas fechas en la página web de la CNV </w:t>
      </w:r>
      <w:hyperlink r:id="rId9">
        <w:r w:rsidRPr="00AB6B54">
          <w:rPr>
            <w:rFonts w:asciiTheme="minorHAnsi" w:eastAsia="Calibri" w:hAnsiTheme="minorHAnsi" w:cstheme="minorHAnsi"/>
            <w:color w:val="0000FF"/>
            <w:sz w:val="20"/>
            <w:szCs w:val="20"/>
          </w:rPr>
          <w:t>(</w:t>
        </w:r>
        <w:r w:rsidRPr="00AB6B54">
          <w:rPr>
            <w:rFonts w:asciiTheme="minorHAnsi" w:eastAsia="Calibri" w:hAnsiTheme="minorHAnsi" w:cstheme="minorHAnsi"/>
            <w:color w:val="0000FF"/>
            <w:sz w:val="20"/>
            <w:szCs w:val="20"/>
            <w:u w:val="single"/>
          </w:rPr>
          <w:t>www.argentina.gob.ar/cnv</w:t>
        </w:r>
      </w:hyperlink>
      <w:r w:rsidRPr="00AB6B54">
        <w:rPr>
          <w:rFonts w:asciiTheme="minorHAnsi" w:eastAsia="Calibri" w:hAnsiTheme="minorHAnsi" w:cstheme="minorHAnsi"/>
          <w:color w:val="0000FF"/>
          <w:sz w:val="20"/>
          <w:szCs w:val="20"/>
          <w:u w:val="single"/>
        </w:rPr>
        <w:t>)</w:t>
      </w:r>
      <w:r w:rsidRPr="00AB6B54">
        <w:rPr>
          <w:rFonts w:asciiTheme="minorHAnsi" w:eastAsia="Calibri" w:hAnsiTheme="minorHAnsi" w:cstheme="minorHAnsi"/>
          <w:sz w:val="20"/>
          <w:szCs w:val="20"/>
        </w:rPr>
        <w:t xml:space="preserve"> bajo el ítem “</w:t>
      </w:r>
      <w:r w:rsidRPr="00AB6B54">
        <w:rPr>
          <w:rFonts w:asciiTheme="minorHAnsi" w:eastAsia="Calibri" w:hAnsiTheme="minorHAnsi" w:cstheme="minorHAnsi"/>
          <w:i/>
          <w:sz w:val="20"/>
          <w:szCs w:val="20"/>
        </w:rPr>
        <w:t>Empresas</w:t>
      </w:r>
      <w:r w:rsidRPr="00AB6B54">
        <w:rPr>
          <w:rFonts w:asciiTheme="minorHAnsi" w:eastAsia="Calibri" w:hAnsiTheme="minorHAnsi" w:cstheme="minorHAnsi"/>
          <w:sz w:val="20"/>
          <w:szCs w:val="20"/>
        </w:rPr>
        <w:t xml:space="preserve">”, en </w:t>
      </w:r>
      <w:r>
        <w:rPr>
          <w:rFonts w:asciiTheme="minorHAnsi" w:hAnsiTheme="minorHAnsi" w:cstheme="minorHAnsi"/>
          <w:sz w:val="20"/>
          <w:szCs w:val="20"/>
          <w:lang w:val="es-ES"/>
        </w:rPr>
        <w:t>el boletín electrónico de A3 Mercados S.A. (“</w:t>
      </w:r>
      <w:r>
        <w:rPr>
          <w:rFonts w:asciiTheme="minorHAnsi" w:hAnsiTheme="minorHAnsi" w:cstheme="minorHAnsi"/>
          <w:b/>
          <w:bCs/>
          <w:sz w:val="20"/>
          <w:szCs w:val="20"/>
          <w:u w:val="single"/>
          <w:lang w:val="es-ES"/>
        </w:rPr>
        <w:t>A3 Mercados</w:t>
      </w:r>
      <w:r>
        <w:rPr>
          <w:rFonts w:asciiTheme="minorHAnsi" w:hAnsiTheme="minorHAnsi" w:cstheme="minorHAnsi"/>
          <w:sz w:val="20"/>
          <w:szCs w:val="20"/>
          <w:lang w:val="es-ES"/>
        </w:rPr>
        <w:t>”) (el “</w:t>
      </w:r>
      <w:r>
        <w:rPr>
          <w:rFonts w:asciiTheme="minorHAnsi" w:hAnsiTheme="minorHAnsi" w:cstheme="minorHAnsi"/>
          <w:b/>
          <w:bCs/>
          <w:sz w:val="20"/>
          <w:szCs w:val="20"/>
          <w:u w:val="single"/>
          <w:lang w:val="es-ES"/>
        </w:rPr>
        <w:t>Boletín Electrónico de A3 Mercados</w:t>
      </w:r>
      <w:r>
        <w:rPr>
          <w:rFonts w:asciiTheme="minorHAnsi" w:hAnsiTheme="minorHAnsi" w:cstheme="minorHAnsi"/>
          <w:sz w:val="20"/>
          <w:szCs w:val="20"/>
          <w:lang w:val="es-ES"/>
        </w:rPr>
        <w:t>”), en el micrositio web de licitaciones primarias de A3 Mercados (</w:t>
      </w:r>
      <w:r>
        <w:rPr>
          <w:rFonts w:asciiTheme="minorHAnsi" w:hAnsiTheme="minorHAnsi" w:cstheme="minorHAnsi"/>
          <w:sz w:val="20"/>
          <w:szCs w:val="20"/>
          <w:u w:val="single"/>
          <w:lang w:val="es-ES"/>
        </w:rPr>
        <w:t>https://marketdata.mae.com.ar/licitaciones</w:t>
      </w:r>
      <w:r>
        <w:rPr>
          <w:rFonts w:asciiTheme="minorHAnsi" w:hAnsiTheme="minorHAnsi" w:cstheme="minorHAnsi"/>
          <w:sz w:val="20"/>
          <w:szCs w:val="20"/>
          <w:lang w:val="es-ES"/>
        </w:rPr>
        <w:t>)</w:t>
      </w:r>
      <w:hyperlink r:id="rId10" w:history="1"/>
      <w:r w:rsidRPr="00AB6B54">
        <w:rPr>
          <w:rFonts w:asciiTheme="minorHAnsi" w:hAnsiTheme="minorHAnsi" w:cstheme="minorHAnsi"/>
          <w:sz w:val="20"/>
          <w:szCs w:val="20"/>
        </w:rPr>
        <w:t xml:space="preserve"> (la “</w:t>
      </w:r>
      <w:r w:rsidRPr="00AB6B54">
        <w:rPr>
          <w:rFonts w:asciiTheme="minorHAnsi" w:hAnsiTheme="minorHAnsi" w:cstheme="minorHAnsi"/>
          <w:b/>
          <w:sz w:val="20"/>
          <w:szCs w:val="20"/>
          <w:u w:val="single"/>
        </w:rPr>
        <w:t xml:space="preserve">Página Web </w:t>
      </w:r>
      <w:r w:rsidRPr="00AB6B54">
        <w:rPr>
          <w:rFonts w:asciiTheme="minorHAnsi" w:hAnsiTheme="minorHAnsi" w:cstheme="minorHAnsi"/>
          <w:b/>
          <w:bCs/>
          <w:sz w:val="20"/>
          <w:szCs w:val="20"/>
          <w:u w:val="single"/>
        </w:rPr>
        <w:t>de A3 Mercados</w:t>
      </w:r>
      <w:r w:rsidRPr="00AB6B54">
        <w:rPr>
          <w:rFonts w:asciiTheme="minorHAnsi" w:hAnsiTheme="minorHAnsi" w:cstheme="minorHAnsi"/>
          <w:sz w:val="20"/>
          <w:szCs w:val="20"/>
        </w:rPr>
        <w:t xml:space="preserve">”), </w:t>
      </w:r>
      <w:r w:rsidRPr="00AB6B54">
        <w:rPr>
          <w:rFonts w:asciiTheme="minorHAnsi" w:hAnsiTheme="minorHAnsi" w:cstheme="minorHAnsi"/>
          <w:sz w:val="20"/>
          <w:szCs w:val="20"/>
          <w:lang w:val="es-ES"/>
        </w:rPr>
        <w:t xml:space="preserve">en </w:t>
      </w:r>
      <w:r w:rsidRPr="00AB6B54">
        <w:rPr>
          <w:rFonts w:asciiTheme="minorHAnsi" w:hAnsiTheme="minorHAnsi" w:cstheme="minorHAnsi"/>
          <w:sz w:val="20"/>
          <w:szCs w:val="20"/>
        </w:rPr>
        <w:t>la Autopista de la Información Financiera de la CNV</w:t>
      </w:r>
      <w:hyperlink r:id="rId11" w:history="1"/>
      <w:r w:rsidRPr="00AB6B54">
        <w:rPr>
          <w:rFonts w:asciiTheme="minorHAnsi" w:hAnsiTheme="minorHAnsi" w:cstheme="minorHAnsi"/>
          <w:sz w:val="20"/>
          <w:szCs w:val="20"/>
          <w:lang w:val="es-ES"/>
        </w:rPr>
        <w:t xml:space="preserve"> </w:t>
      </w:r>
      <w:r w:rsidRPr="00AB6B54">
        <w:rPr>
          <w:rFonts w:asciiTheme="minorHAnsi" w:hAnsiTheme="minorHAnsi" w:cstheme="minorHAnsi"/>
          <w:sz w:val="20"/>
          <w:szCs w:val="20"/>
        </w:rPr>
        <w:t>(la “</w:t>
      </w:r>
      <w:r w:rsidRPr="00AB6B54">
        <w:rPr>
          <w:rFonts w:asciiTheme="minorHAnsi" w:hAnsiTheme="minorHAnsi" w:cstheme="minorHAnsi"/>
          <w:b/>
          <w:sz w:val="20"/>
          <w:szCs w:val="20"/>
          <w:u w:val="single"/>
        </w:rPr>
        <w:t>AIF</w:t>
      </w:r>
      <w:r w:rsidRPr="00AB6B54">
        <w:rPr>
          <w:rFonts w:asciiTheme="minorHAnsi" w:hAnsiTheme="minorHAnsi" w:cstheme="minorHAnsi"/>
          <w:sz w:val="20"/>
          <w:szCs w:val="20"/>
        </w:rPr>
        <w:t>”), bajo el ítem “</w:t>
      </w:r>
      <w:r w:rsidRPr="00AB6B54">
        <w:rPr>
          <w:rFonts w:asciiTheme="minorHAnsi" w:hAnsiTheme="minorHAnsi" w:cstheme="minorHAnsi"/>
          <w:i/>
          <w:sz w:val="20"/>
          <w:szCs w:val="20"/>
        </w:rPr>
        <w:t xml:space="preserve">Empresas – </w:t>
      </w:r>
      <w:proofErr w:type="spellStart"/>
      <w:r w:rsidRPr="00AB6B54">
        <w:rPr>
          <w:rFonts w:asciiTheme="minorHAnsi" w:hAnsiTheme="minorHAnsi" w:cstheme="minorHAnsi"/>
          <w:i/>
          <w:sz w:val="20"/>
          <w:szCs w:val="20"/>
        </w:rPr>
        <w:t>Genneia</w:t>
      </w:r>
      <w:proofErr w:type="spellEnd"/>
      <w:r w:rsidRPr="00AB6B54">
        <w:rPr>
          <w:rFonts w:asciiTheme="minorHAnsi" w:hAnsiTheme="minorHAnsi" w:cstheme="minorHAnsi"/>
          <w:i/>
          <w:sz w:val="20"/>
          <w:szCs w:val="20"/>
        </w:rPr>
        <w:t xml:space="preserve"> S.A.</w:t>
      </w:r>
      <w:r w:rsidRPr="00AB6B54">
        <w:rPr>
          <w:rFonts w:asciiTheme="minorHAnsi" w:hAnsiTheme="minorHAnsi" w:cstheme="minorHAnsi"/>
          <w:sz w:val="20"/>
          <w:szCs w:val="20"/>
        </w:rPr>
        <w:t>”</w:t>
      </w:r>
      <w:r w:rsidRPr="00AB6B54">
        <w:rPr>
          <w:rFonts w:asciiTheme="minorHAnsi" w:hAnsiTheme="minorHAnsi" w:cstheme="minorHAnsi"/>
          <w:sz w:val="20"/>
          <w:szCs w:val="20"/>
          <w:lang w:val="es-ES"/>
        </w:rPr>
        <w:t xml:space="preserve">, en el sitio </w:t>
      </w:r>
      <w:r w:rsidRPr="00AB6B54">
        <w:rPr>
          <w:rFonts w:asciiTheme="minorHAnsi" w:hAnsiTheme="minorHAnsi" w:cstheme="minorHAnsi"/>
          <w:i/>
          <w:iCs/>
          <w:sz w:val="20"/>
          <w:szCs w:val="20"/>
          <w:lang w:val="es-ES"/>
        </w:rPr>
        <w:t>web</w:t>
      </w:r>
      <w:r w:rsidRPr="00AB6B54">
        <w:rPr>
          <w:rFonts w:asciiTheme="minorHAnsi" w:hAnsiTheme="minorHAnsi" w:cstheme="minorHAnsi"/>
          <w:sz w:val="20"/>
          <w:szCs w:val="20"/>
          <w:lang w:val="es-ES"/>
        </w:rPr>
        <w:t xml:space="preserve"> institucional de la Emisora (</w:t>
      </w:r>
      <w:hyperlink r:id="rId12" w:history="1">
        <w:r w:rsidRPr="00AB6B54">
          <w:rPr>
            <w:rStyle w:val="Hipervnculo"/>
            <w:rFonts w:asciiTheme="minorHAnsi" w:hAnsiTheme="minorHAnsi" w:cstheme="minorHAnsi"/>
            <w:szCs w:val="20"/>
          </w:rPr>
          <w:t>www.genneia.com.ar</w:t>
        </w:r>
      </w:hyperlink>
      <w:r w:rsidRPr="00AB6B54">
        <w:rPr>
          <w:rFonts w:asciiTheme="minorHAnsi" w:hAnsiTheme="minorHAnsi" w:cstheme="minorHAnsi"/>
          <w:sz w:val="20"/>
          <w:szCs w:val="20"/>
          <w:lang w:val="es-ES"/>
        </w:rPr>
        <w:t>) (la “</w:t>
      </w:r>
      <w:r w:rsidRPr="00AB6B54">
        <w:rPr>
          <w:rFonts w:asciiTheme="minorHAnsi" w:hAnsiTheme="minorHAnsi" w:cstheme="minorHAnsi"/>
          <w:b/>
          <w:sz w:val="20"/>
          <w:szCs w:val="20"/>
          <w:u w:val="single"/>
          <w:lang w:val="es-ES"/>
        </w:rPr>
        <w:t>Página Web de la Compañía</w:t>
      </w:r>
      <w:r w:rsidRPr="00AB6B54">
        <w:rPr>
          <w:rFonts w:asciiTheme="minorHAnsi" w:hAnsiTheme="minorHAnsi" w:cstheme="minorHAnsi"/>
          <w:sz w:val="20"/>
          <w:szCs w:val="20"/>
          <w:lang w:val="es-ES"/>
        </w:rPr>
        <w:t xml:space="preserve">”) y en el Boletín Diario de la Bolsa de Comercio de Buenos Aires </w:t>
      </w:r>
      <w:r w:rsidRPr="00AB6B54">
        <w:rPr>
          <w:rFonts w:asciiTheme="minorHAnsi" w:hAnsiTheme="minorHAnsi" w:cstheme="minorHAnsi"/>
          <w:sz w:val="20"/>
          <w:szCs w:val="20"/>
        </w:rPr>
        <w:t>(la “</w:t>
      </w:r>
      <w:r w:rsidRPr="00AB6B54">
        <w:rPr>
          <w:rFonts w:asciiTheme="minorHAnsi" w:hAnsiTheme="minorHAnsi" w:cstheme="minorHAnsi"/>
          <w:b/>
          <w:sz w:val="20"/>
          <w:szCs w:val="20"/>
          <w:u w:val="single"/>
        </w:rPr>
        <w:t>BCBA</w:t>
      </w:r>
      <w:r w:rsidRPr="00AB6B54">
        <w:rPr>
          <w:rFonts w:asciiTheme="minorHAnsi" w:hAnsiTheme="minorHAnsi" w:cstheme="minorHAnsi"/>
          <w:sz w:val="20"/>
          <w:szCs w:val="20"/>
        </w:rPr>
        <w:t>”) en virtud del ejercicio de las facultades delegadas por Bolsas y Mercados Argentinos S.A. (“</w:t>
      </w:r>
      <w:r w:rsidRPr="00AB6B54">
        <w:rPr>
          <w:rFonts w:asciiTheme="minorHAnsi" w:hAnsiTheme="minorHAnsi" w:cstheme="minorHAnsi"/>
          <w:b/>
          <w:bCs/>
          <w:sz w:val="20"/>
          <w:szCs w:val="20"/>
          <w:u w:val="single"/>
        </w:rPr>
        <w:t>BYMA</w:t>
      </w:r>
      <w:r w:rsidRPr="00AB6B54">
        <w:rPr>
          <w:rFonts w:asciiTheme="minorHAnsi" w:hAnsiTheme="minorHAnsi" w:cstheme="minorHAnsi"/>
          <w:sz w:val="20"/>
          <w:szCs w:val="20"/>
        </w:rPr>
        <w:t xml:space="preserve">”) a la BCBA conforme lo dispuesto por la Resolución </w:t>
      </w:r>
      <w:proofErr w:type="spellStart"/>
      <w:r w:rsidRPr="00AB6B54">
        <w:rPr>
          <w:rFonts w:asciiTheme="minorHAnsi" w:hAnsiTheme="minorHAnsi" w:cstheme="minorHAnsi"/>
          <w:sz w:val="20"/>
          <w:szCs w:val="20"/>
        </w:rPr>
        <w:t>N°</w:t>
      </w:r>
      <w:proofErr w:type="spellEnd"/>
      <w:r w:rsidRPr="00AB6B54">
        <w:rPr>
          <w:rFonts w:asciiTheme="minorHAnsi" w:hAnsiTheme="minorHAnsi" w:cstheme="minorHAnsi"/>
          <w:sz w:val="20"/>
          <w:szCs w:val="20"/>
        </w:rPr>
        <w:t xml:space="preserve"> 18.629 de la CNV</w:t>
      </w:r>
      <w:r w:rsidRPr="00AB6B54">
        <w:rPr>
          <w:rFonts w:asciiTheme="minorHAnsi" w:hAnsiTheme="minorHAnsi" w:cstheme="minorHAnsi"/>
          <w:sz w:val="20"/>
          <w:szCs w:val="20"/>
          <w:lang w:val="es-ES"/>
        </w:rPr>
        <w:t xml:space="preserve"> (el “</w:t>
      </w:r>
      <w:r w:rsidRPr="00AB6B54">
        <w:rPr>
          <w:rFonts w:asciiTheme="minorHAnsi" w:hAnsiTheme="minorHAnsi" w:cstheme="minorHAnsi"/>
          <w:b/>
          <w:sz w:val="20"/>
          <w:szCs w:val="20"/>
          <w:u w:val="single"/>
          <w:lang w:val="es-ES"/>
        </w:rPr>
        <w:t>Boletín Diario de la BCBA</w:t>
      </w:r>
      <w:r w:rsidRPr="00AB6B54">
        <w:rPr>
          <w:rFonts w:asciiTheme="minorHAnsi" w:hAnsiTheme="minorHAnsi" w:cstheme="minorHAnsi"/>
          <w:sz w:val="20"/>
          <w:szCs w:val="20"/>
          <w:lang w:val="es-ES"/>
        </w:rPr>
        <w:t>”)</w:t>
      </w:r>
      <w:r>
        <w:rPr>
          <w:rFonts w:asciiTheme="minorHAnsi" w:hAnsiTheme="minorHAnsi" w:cstheme="minorHAnsi"/>
          <w:sz w:val="20"/>
          <w:szCs w:val="20"/>
          <w:lang w:val="es-ES"/>
        </w:rPr>
        <w:t>, los que el Inversor declara conocer y aceptar</w:t>
      </w:r>
      <w:r w:rsidRPr="00AB6B54">
        <w:rPr>
          <w:rFonts w:asciiTheme="minorHAnsi" w:eastAsia="Calibri" w:hAnsiTheme="minorHAnsi" w:cstheme="minorHAnsi"/>
          <w:sz w:val="20"/>
          <w:szCs w:val="20"/>
        </w:rPr>
        <w:t xml:space="preserve">. </w:t>
      </w:r>
      <w:r w:rsidRPr="00E72D98">
        <w:rPr>
          <w:rFonts w:asciiTheme="minorHAnsi" w:eastAsia="Calibri" w:hAnsiTheme="minorHAnsi"/>
          <w:sz w:val="20"/>
        </w:rPr>
        <w:t xml:space="preserve">Los términos en mayúscula aquí utilizados y no definidos en la presente </w:t>
      </w:r>
      <w:r w:rsidRPr="00E72D98">
        <w:rPr>
          <w:rFonts w:asciiTheme="minorHAnsi" w:eastAsia="Calibri" w:hAnsiTheme="minorHAnsi"/>
          <w:sz w:val="20"/>
        </w:rPr>
        <w:lastRenderedPageBreak/>
        <w:t>tendrán el significado asignado en los Documentos de la Oferta, según corresponda.</w:t>
      </w:r>
    </w:p>
    <w:p w14:paraId="25A45199" w14:textId="77777777" w:rsidR="00C04B93" w:rsidRPr="00E72D98" w:rsidRDefault="00C04B93" w:rsidP="00C04B93">
      <w:pPr>
        <w:widowControl w:val="0"/>
        <w:jc w:val="both"/>
        <w:rPr>
          <w:rFonts w:asciiTheme="minorHAnsi" w:eastAsia="Calibri" w:hAnsiTheme="minorHAnsi"/>
          <w:sz w:val="20"/>
        </w:rPr>
      </w:pPr>
    </w:p>
    <w:p w14:paraId="2BDB25BD" w14:textId="77777777" w:rsidR="00C04B93" w:rsidRPr="00AB6B54" w:rsidRDefault="00C04B93" w:rsidP="00C04B93">
      <w:pPr>
        <w:widowControl w:val="0"/>
        <w:jc w:val="both"/>
        <w:rPr>
          <w:rFonts w:asciiTheme="minorHAnsi" w:eastAsia="Calibri" w:hAnsiTheme="minorHAnsi" w:cstheme="minorHAnsi"/>
          <w:sz w:val="20"/>
          <w:szCs w:val="20"/>
        </w:rPr>
      </w:pPr>
      <w:r w:rsidRPr="00AB6B54">
        <w:rPr>
          <w:rFonts w:asciiTheme="minorHAnsi" w:hAnsiTheme="minorHAnsi" w:cstheme="minorHAnsi"/>
          <w:b/>
          <w:color w:val="92D050"/>
          <w:sz w:val="20"/>
          <w:szCs w:val="20"/>
          <w:lang w:val="es-ES"/>
        </w:rPr>
        <w:t xml:space="preserve">Las Obligaciones Negociables se encuentran alineadas a los cuatro componentes principales de los Principios de Bonos Verdes </w:t>
      </w:r>
      <w:r w:rsidRPr="00AB6B54">
        <w:rPr>
          <w:rFonts w:asciiTheme="minorHAnsi" w:hAnsiTheme="minorHAnsi" w:cstheme="minorHAnsi"/>
          <w:b/>
          <w:bCs/>
          <w:color w:val="92D050"/>
          <w:sz w:val="20"/>
          <w:szCs w:val="20"/>
          <w:lang w:val="es-ES"/>
        </w:rPr>
        <w:t>2025</w:t>
      </w:r>
      <w:r w:rsidRPr="00AB6B54">
        <w:rPr>
          <w:rFonts w:asciiTheme="minorHAnsi" w:hAnsiTheme="minorHAnsi" w:cstheme="minorHAnsi"/>
          <w:b/>
          <w:color w:val="92D050"/>
          <w:sz w:val="20"/>
          <w:szCs w:val="20"/>
          <w:lang w:val="es-ES"/>
        </w:rPr>
        <w:t xml:space="preserve"> (GBP</w:t>
      </w:r>
      <w:r w:rsidRPr="00AB6B54">
        <w:rPr>
          <w:rFonts w:asciiTheme="minorHAnsi" w:hAnsiTheme="minorHAnsi" w:cstheme="minorHAnsi"/>
          <w:b/>
          <w:bCs/>
          <w:color w:val="92D050"/>
          <w:sz w:val="20"/>
          <w:szCs w:val="20"/>
          <w:lang w:val="es-ES"/>
        </w:rPr>
        <w:t xml:space="preserve"> </w:t>
      </w:r>
      <w:r w:rsidRPr="00AB6B54">
        <w:rPr>
          <w:rFonts w:asciiTheme="minorHAnsi" w:hAnsiTheme="minorHAnsi" w:cstheme="minorHAnsi"/>
          <w:b/>
          <w:color w:val="92D050"/>
          <w:sz w:val="20"/>
          <w:szCs w:val="20"/>
          <w:lang w:val="es-ES"/>
        </w:rPr>
        <w:t>, por sus siglas en inglés) del ICMA (</w:t>
      </w:r>
      <w:r w:rsidRPr="00AB6B54">
        <w:rPr>
          <w:rFonts w:asciiTheme="minorHAnsi" w:hAnsiTheme="minorHAnsi" w:cstheme="minorHAnsi"/>
          <w:b/>
          <w:i/>
          <w:iCs/>
          <w:color w:val="92D050"/>
          <w:sz w:val="20"/>
          <w:szCs w:val="20"/>
          <w:lang w:val="es-ES"/>
        </w:rPr>
        <w:t xml:space="preserve">International Capital Market </w:t>
      </w:r>
      <w:proofErr w:type="spellStart"/>
      <w:r w:rsidRPr="00AB6B54">
        <w:rPr>
          <w:rFonts w:asciiTheme="minorHAnsi" w:hAnsiTheme="minorHAnsi" w:cstheme="minorHAnsi"/>
          <w:b/>
          <w:i/>
          <w:iCs/>
          <w:color w:val="92D050"/>
          <w:sz w:val="20"/>
          <w:szCs w:val="20"/>
          <w:lang w:val="es-ES"/>
        </w:rPr>
        <w:t>Association</w:t>
      </w:r>
      <w:proofErr w:type="spellEnd"/>
      <w:r w:rsidRPr="00AB6B54">
        <w:rPr>
          <w:rFonts w:asciiTheme="minorHAnsi" w:hAnsiTheme="minorHAnsi" w:cstheme="minorHAnsi"/>
          <w:b/>
          <w:color w:val="92D050"/>
          <w:sz w:val="20"/>
          <w:szCs w:val="20"/>
          <w:lang w:val="es-ES"/>
        </w:rPr>
        <w:t>) y serán emitidas siguiendo los “Lineamientos para la Emisión de Valores Negociables Sociales, Verdes y Sustentables en Argentina” contenidos en el Anexo III, del Capítulo I, del Título VI de las Normas de la CNV (los “</w:t>
      </w:r>
      <w:r w:rsidRPr="00AB6B54">
        <w:rPr>
          <w:rFonts w:asciiTheme="minorHAnsi" w:hAnsiTheme="minorHAnsi" w:cstheme="minorHAnsi"/>
          <w:b/>
          <w:color w:val="92D050"/>
          <w:sz w:val="20"/>
          <w:szCs w:val="20"/>
          <w:u w:val="single"/>
          <w:lang w:val="es-ES"/>
        </w:rPr>
        <w:t>Lineamientos para la Emisión de Bonos SVS</w:t>
      </w:r>
      <w:r w:rsidRPr="00AB6B54">
        <w:rPr>
          <w:rFonts w:asciiTheme="minorHAnsi" w:hAnsiTheme="minorHAnsi" w:cstheme="minorHAnsi"/>
          <w:b/>
          <w:color w:val="92D050"/>
          <w:sz w:val="20"/>
          <w:szCs w:val="20"/>
          <w:lang w:val="es-ES"/>
        </w:rPr>
        <w:t>”) y lo dispuesto en la Guía de Bonos Sociales Verdes y Sustentables en el Panel de BYMA (la “</w:t>
      </w:r>
      <w:r w:rsidRPr="00AB6B54">
        <w:rPr>
          <w:rFonts w:asciiTheme="minorHAnsi" w:hAnsiTheme="minorHAnsi" w:cstheme="minorHAnsi"/>
          <w:b/>
          <w:color w:val="92D050"/>
          <w:sz w:val="20"/>
          <w:szCs w:val="20"/>
          <w:u w:val="single"/>
          <w:lang w:val="es-ES"/>
        </w:rPr>
        <w:t>Guía BYMA</w:t>
      </w:r>
      <w:r w:rsidRPr="00AB6B54">
        <w:rPr>
          <w:rFonts w:asciiTheme="minorHAnsi" w:hAnsiTheme="minorHAnsi" w:cstheme="minorHAnsi"/>
          <w:b/>
          <w:color w:val="92D050"/>
          <w:sz w:val="20"/>
          <w:szCs w:val="20"/>
          <w:lang w:val="es-ES"/>
        </w:rPr>
        <w:t>”)</w:t>
      </w:r>
      <w:r w:rsidRPr="00AB6B54">
        <w:rPr>
          <w:rFonts w:asciiTheme="minorHAnsi" w:eastAsia="Calibri" w:hAnsiTheme="minorHAnsi" w:cstheme="minorHAnsi"/>
          <w:b/>
          <w:color w:val="92D050"/>
          <w:sz w:val="20"/>
          <w:szCs w:val="20"/>
        </w:rPr>
        <w:t>.</w:t>
      </w:r>
      <w:r w:rsidRPr="00AB6B54">
        <w:rPr>
          <w:rFonts w:asciiTheme="minorHAnsi" w:eastAsia="Calibri" w:hAnsiTheme="minorHAnsi" w:cstheme="minorHAnsi"/>
          <w:b/>
          <w:bCs/>
          <w:color w:val="92D050"/>
          <w:sz w:val="20"/>
          <w:szCs w:val="20"/>
        </w:rPr>
        <w:t xml:space="preserve"> S&amp;P Global Ratings emitió una Segunda Opinión (SPO) respecto del Marco de Financiamiento Verde de la Emisora con fecha 6 de octubre de 2026.</w:t>
      </w:r>
    </w:p>
    <w:p w14:paraId="11437E42" w14:textId="77777777" w:rsidR="00C04B93" w:rsidRPr="00E72D98" w:rsidRDefault="00C04B93" w:rsidP="00C04B93">
      <w:pPr>
        <w:widowControl w:val="0"/>
        <w:jc w:val="both"/>
        <w:rPr>
          <w:rFonts w:asciiTheme="minorHAnsi" w:eastAsia="Calibri" w:hAnsiTheme="minorHAnsi"/>
          <w:sz w:val="20"/>
        </w:rPr>
      </w:pPr>
    </w:p>
    <w:p w14:paraId="654F5F19" w14:textId="77777777" w:rsidR="00C04B93" w:rsidRPr="00E72D98" w:rsidRDefault="00C04B93" w:rsidP="00C04B93">
      <w:pPr>
        <w:widowControl w:val="0"/>
        <w:jc w:val="both"/>
        <w:rPr>
          <w:rFonts w:asciiTheme="minorHAnsi" w:eastAsia="Calibri" w:hAnsiTheme="minorHAnsi"/>
          <w:sz w:val="20"/>
        </w:rPr>
      </w:pPr>
      <w:r w:rsidRPr="00E72D98">
        <w:rPr>
          <w:rFonts w:asciiTheme="minorHAnsi" w:eastAsia="Calibri" w:hAnsiTheme="minorHAnsi"/>
          <w:sz w:val="20"/>
        </w:rPr>
        <w:t xml:space="preserve">En este contexto, el Inversor presenta esta </w:t>
      </w:r>
      <w:r>
        <w:rPr>
          <w:rFonts w:asciiTheme="minorHAnsi" w:eastAsia="Calibri" w:hAnsiTheme="minorHAnsi" w:cstheme="minorHAnsi"/>
          <w:sz w:val="20"/>
          <w:szCs w:val="20"/>
        </w:rPr>
        <w:t>orden</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xml:space="preserve"> irrevocable (la “</w:t>
      </w:r>
      <w:r>
        <w:rPr>
          <w:rFonts w:asciiTheme="minorHAnsi" w:eastAsia="Calibri" w:hAnsiTheme="minorHAnsi" w:cstheme="minorHAnsi"/>
          <w:b/>
          <w:bCs/>
          <w:sz w:val="20"/>
          <w:szCs w:val="20"/>
          <w:u w:val="single"/>
        </w:rPr>
        <w:t>Orden</w:t>
      </w:r>
      <w:r w:rsidRPr="00E72D98">
        <w:rPr>
          <w:rFonts w:asciiTheme="minorHAnsi" w:eastAsia="Calibri" w:hAnsiTheme="minorHAnsi"/>
          <w:b/>
          <w:sz w:val="20"/>
          <w:u w:val="single"/>
        </w:rPr>
        <w:t xml:space="preserve"> de </w:t>
      </w:r>
      <w:r>
        <w:rPr>
          <w:rFonts w:asciiTheme="minorHAnsi" w:eastAsia="Calibri" w:hAnsiTheme="minorHAnsi" w:cstheme="minorHAnsi"/>
          <w:b/>
          <w:bCs/>
          <w:sz w:val="20"/>
          <w:szCs w:val="20"/>
          <w:u w:val="single"/>
        </w:rPr>
        <w:t>Suscripción</w:t>
      </w:r>
      <w:r w:rsidRPr="00E72D98">
        <w:rPr>
          <w:rFonts w:asciiTheme="minorHAnsi" w:eastAsia="Calibri" w:hAnsiTheme="minorHAnsi"/>
          <w:sz w:val="20"/>
        </w:rPr>
        <w:t xml:space="preserve">”) para suscribir las Obligaciones Negociables, cuyos términos y condiciones se describen en los Documentos de la Oferta, los cuales declara conocer y aceptar incondicionalmente. </w:t>
      </w:r>
      <w:r>
        <w:rPr>
          <w:rFonts w:asciiTheme="minorHAnsi" w:hAnsiTheme="minorHAnsi" w:cstheme="minorHAnsi"/>
          <w:sz w:val="20"/>
          <w:szCs w:val="20"/>
        </w:rPr>
        <w:t>En virtud de las facultades previstas por el Artículo 7, Sección II, del Capítulo IV, Título VI de las Normas de la CNV, mediante la remisión de la presente Orden de Suscripción, el Inversor renuncia a la necesidad de ratificar expresamente la misma.</w:t>
      </w:r>
    </w:p>
    <w:p w14:paraId="310039F8" w14:textId="77777777" w:rsidR="00C04B93" w:rsidRPr="00E72D98" w:rsidRDefault="00C04B93" w:rsidP="00C04B93">
      <w:pPr>
        <w:widowControl w:val="0"/>
        <w:jc w:val="both"/>
        <w:rPr>
          <w:rFonts w:asciiTheme="minorHAnsi" w:eastAsia="Calibri" w:hAnsiTheme="minorHAnsi"/>
          <w:sz w:val="20"/>
        </w:rPr>
      </w:pPr>
    </w:p>
    <w:p w14:paraId="70BCAA8B" w14:textId="77777777" w:rsidR="00C04B93" w:rsidRPr="00E72D98" w:rsidRDefault="00C04B93" w:rsidP="00C04B93">
      <w:pPr>
        <w:widowControl w:val="0"/>
        <w:jc w:val="both"/>
        <w:rPr>
          <w:rFonts w:asciiTheme="minorHAnsi" w:eastAsia="Calibri" w:hAnsiTheme="minorHAnsi"/>
          <w:sz w:val="20"/>
        </w:rPr>
      </w:pPr>
      <w:r w:rsidRPr="00E72D98">
        <w:rPr>
          <w:rFonts w:asciiTheme="minorHAnsi" w:eastAsia="Calibri" w:hAnsiTheme="minorHAnsi"/>
          <w:sz w:val="20"/>
        </w:rPr>
        <w:t xml:space="preserve">Las Obligaciones Negociables se ofertarán públicamente en Argentina de conformidad con el Régimen de Emisor Frecuente. Oferta Pública autorizada por Registro de Emisor Frecuente </w:t>
      </w:r>
      <w:proofErr w:type="spellStart"/>
      <w:r w:rsidRPr="00E72D98">
        <w:rPr>
          <w:rFonts w:asciiTheme="minorHAnsi" w:eastAsia="Calibri" w:hAnsiTheme="minorHAnsi"/>
          <w:sz w:val="20"/>
        </w:rPr>
        <w:t>N°</w:t>
      </w:r>
      <w:proofErr w:type="spellEnd"/>
      <w:r w:rsidRPr="00E72D98">
        <w:rPr>
          <w:rFonts w:asciiTheme="minorHAnsi" w:eastAsia="Calibri" w:hAnsiTheme="minorHAnsi"/>
          <w:sz w:val="20"/>
        </w:rPr>
        <w:t xml:space="preserve"> 15, otorgado por la Disposición </w:t>
      </w:r>
      <w:proofErr w:type="spellStart"/>
      <w:r w:rsidRPr="00E72D98">
        <w:rPr>
          <w:rFonts w:asciiTheme="minorHAnsi" w:eastAsia="Calibri" w:hAnsiTheme="minorHAnsi"/>
          <w:sz w:val="20"/>
        </w:rPr>
        <w:t>N°</w:t>
      </w:r>
      <w:proofErr w:type="spellEnd"/>
      <w:r w:rsidRPr="00E72D98">
        <w:rPr>
          <w:rFonts w:asciiTheme="minorHAnsi" w:eastAsia="Calibri" w:hAnsiTheme="minorHAnsi"/>
          <w:sz w:val="20"/>
        </w:rPr>
        <w:t xml:space="preserve"> DI-2021-10-APN-GE#CNV de la Gerencia de Emisoras de la CNV, de fecha 19 de abril de 2021</w:t>
      </w:r>
      <w:r w:rsidRPr="00AB6B54">
        <w:rPr>
          <w:rFonts w:asciiTheme="minorHAnsi" w:eastAsia="Calibri" w:hAnsiTheme="minorHAnsi" w:cstheme="minorHAnsi"/>
          <w:sz w:val="20"/>
          <w:szCs w:val="20"/>
        </w:rPr>
        <w:t>. Mediante</w:t>
      </w:r>
      <w:r w:rsidRPr="00E72D98">
        <w:rPr>
          <w:rFonts w:asciiTheme="minorHAnsi" w:eastAsia="Calibri" w:hAnsiTheme="minorHAnsi"/>
          <w:sz w:val="20"/>
        </w:rPr>
        <w:t xml:space="preserve"> Disposición </w:t>
      </w:r>
      <w:r w:rsidRPr="00AB6B54">
        <w:rPr>
          <w:rFonts w:asciiTheme="minorHAnsi" w:eastAsia="Calibri" w:hAnsiTheme="minorHAnsi" w:cstheme="minorHAnsi"/>
          <w:sz w:val="20"/>
          <w:szCs w:val="20"/>
        </w:rPr>
        <w:t xml:space="preserve">de </w:t>
      </w:r>
      <w:r w:rsidRPr="00E72D98">
        <w:rPr>
          <w:rFonts w:asciiTheme="minorHAnsi" w:eastAsia="Calibri" w:hAnsiTheme="minorHAnsi"/>
          <w:sz w:val="20"/>
        </w:rPr>
        <w:t>la Gerencia de Emisoras de la CNV</w:t>
      </w:r>
      <w:r w:rsidRPr="00AB6B54">
        <w:rPr>
          <w:rFonts w:asciiTheme="minorHAnsi" w:eastAsia="Calibri" w:hAnsiTheme="minorHAnsi" w:cstheme="minorHAnsi"/>
          <w:sz w:val="20"/>
          <w:szCs w:val="20"/>
        </w:rPr>
        <w:t xml:space="preserve"> </w:t>
      </w:r>
      <w:proofErr w:type="spellStart"/>
      <w:r w:rsidRPr="00AB6B54">
        <w:rPr>
          <w:rFonts w:asciiTheme="minorHAnsi" w:eastAsia="Calibri" w:hAnsiTheme="minorHAnsi" w:cstheme="minorHAnsi"/>
          <w:sz w:val="20"/>
          <w:szCs w:val="20"/>
        </w:rPr>
        <w:t>N°</w:t>
      </w:r>
      <w:proofErr w:type="spellEnd"/>
      <w:r w:rsidRPr="00AB6B54">
        <w:rPr>
          <w:rFonts w:asciiTheme="minorHAnsi" w:eastAsia="Calibri" w:hAnsiTheme="minorHAnsi" w:cstheme="minorHAnsi"/>
          <w:sz w:val="20"/>
          <w:szCs w:val="20"/>
        </w:rPr>
        <w:t xml:space="preserve"> RE-2026-50800856-APN-GE#CNV de </w:t>
      </w:r>
      <w:r w:rsidRPr="00E72D98">
        <w:rPr>
          <w:rFonts w:asciiTheme="minorHAnsi" w:eastAsia="Calibri" w:hAnsiTheme="minorHAnsi"/>
          <w:sz w:val="20"/>
        </w:rPr>
        <w:t xml:space="preserve">fecha </w:t>
      </w:r>
      <w:r w:rsidRPr="00AB6B54">
        <w:rPr>
          <w:rFonts w:asciiTheme="minorHAnsi" w:eastAsia="Calibri" w:hAnsiTheme="minorHAnsi" w:cstheme="minorHAnsi"/>
          <w:sz w:val="20"/>
          <w:szCs w:val="20"/>
        </w:rPr>
        <w:t>21</w:t>
      </w:r>
      <w:r w:rsidRPr="00E72D98">
        <w:rPr>
          <w:rFonts w:asciiTheme="minorHAnsi" w:eastAsia="Calibri" w:hAnsiTheme="minorHAnsi"/>
          <w:sz w:val="20"/>
        </w:rPr>
        <w:t xml:space="preserve"> de mayo de </w:t>
      </w:r>
      <w:r w:rsidRPr="00AB6B54">
        <w:rPr>
          <w:rFonts w:asciiTheme="minorHAnsi" w:eastAsia="Calibri" w:hAnsiTheme="minorHAnsi" w:cstheme="minorHAnsi"/>
          <w:sz w:val="20"/>
          <w:szCs w:val="20"/>
        </w:rPr>
        <w:t>2026 se autorizó</w:t>
      </w:r>
      <w:r w:rsidRPr="00E72D98">
        <w:rPr>
          <w:rFonts w:asciiTheme="minorHAnsi" w:eastAsia="Calibri" w:hAnsiTheme="minorHAnsi"/>
          <w:sz w:val="20"/>
        </w:rPr>
        <w:t xml:space="preserve"> un monto máximo disponible para </w:t>
      </w:r>
      <w:r w:rsidRPr="00AB6B54">
        <w:rPr>
          <w:rFonts w:asciiTheme="minorHAnsi" w:eastAsia="Calibri" w:hAnsiTheme="minorHAnsi" w:cstheme="minorHAnsi"/>
          <w:sz w:val="20"/>
          <w:szCs w:val="20"/>
        </w:rPr>
        <w:t xml:space="preserve">emitir y/o reemitir clases y/o series bajo el Régimen de Emisor Frecuente de </w:t>
      </w:r>
      <w:r w:rsidRPr="00E72D98">
        <w:rPr>
          <w:rFonts w:asciiTheme="minorHAnsi" w:eastAsia="Calibri" w:hAnsiTheme="minorHAnsi"/>
          <w:sz w:val="20"/>
        </w:rPr>
        <w:t xml:space="preserve">hasta valor nominal US$ </w:t>
      </w:r>
      <w:r w:rsidRPr="00AB6B54">
        <w:rPr>
          <w:rFonts w:asciiTheme="minorHAnsi" w:eastAsia="Calibri" w:hAnsiTheme="minorHAnsi" w:cstheme="minorHAnsi"/>
          <w:sz w:val="20"/>
          <w:szCs w:val="20"/>
        </w:rPr>
        <w:t>600</w:t>
      </w:r>
      <w:r w:rsidRPr="00E72D98">
        <w:rPr>
          <w:rFonts w:asciiTheme="minorHAnsi" w:eastAsia="Calibri" w:hAnsiTheme="minorHAnsi"/>
          <w:sz w:val="20"/>
        </w:rPr>
        <w:t xml:space="preserve">.000.000 (Dólares Estadounidenses </w:t>
      </w:r>
      <w:r w:rsidRPr="00AB6B54">
        <w:rPr>
          <w:rFonts w:asciiTheme="minorHAnsi" w:eastAsia="Calibri" w:hAnsiTheme="minorHAnsi" w:cstheme="minorHAnsi"/>
          <w:sz w:val="20"/>
          <w:szCs w:val="20"/>
        </w:rPr>
        <w:t>seiscientos</w:t>
      </w:r>
      <w:r w:rsidRPr="00E72D98">
        <w:rPr>
          <w:rFonts w:asciiTheme="minorHAnsi" w:eastAsia="Calibri" w:hAnsiTheme="minorHAnsi"/>
          <w:sz w:val="20"/>
        </w:rPr>
        <w:t xml:space="preserve"> millones), o su equivalente en otras monedas o unidades de valor, </w:t>
      </w:r>
      <w:r w:rsidRPr="00AB6B54">
        <w:rPr>
          <w:rFonts w:asciiTheme="minorHAnsi" w:eastAsia="Calibri" w:hAnsiTheme="minorHAnsi" w:cstheme="minorHAnsi"/>
          <w:sz w:val="20"/>
          <w:szCs w:val="20"/>
        </w:rPr>
        <w:t xml:space="preserve">el cual fue incrementado hasta </w:t>
      </w:r>
      <w:r w:rsidRPr="00E72D98">
        <w:rPr>
          <w:rFonts w:asciiTheme="minorHAnsi" w:eastAsia="Calibri" w:hAnsiTheme="minorHAnsi"/>
          <w:sz w:val="20"/>
        </w:rPr>
        <w:t xml:space="preserve">valor nominal US$ </w:t>
      </w:r>
      <w:r w:rsidRPr="00AB6B54">
        <w:rPr>
          <w:rFonts w:asciiTheme="minorHAnsi" w:eastAsia="Calibri" w:hAnsiTheme="minorHAnsi" w:cstheme="minorHAnsi"/>
          <w:sz w:val="20"/>
          <w:szCs w:val="20"/>
        </w:rPr>
        <w:t>1</w:t>
      </w:r>
      <w:r w:rsidRPr="00E72D98">
        <w:rPr>
          <w:rFonts w:asciiTheme="minorHAnsi" w:eastAsia="Calibri" w:hAnsiTheme="minorHAnsi"/>
          <w:sz w:val="20"/>
        </w:rPr>
        <w:t>.000.000</w:t>
      </w:r>
      <w:r w:rsidRPr="00AB6B54">
        <w:rPr>
          <w:rFonts w:asciiTheme="minorHAnsi" w:eastAsia="Calibri" w:hAnsiTheme="minorHAnsi" w:cstheme="minorHAnsi"/>
          <w:sz w:val="20"/>
          <w:szCs w:val="20"/>
        </w:rPr>
        <w:t>.000 (Dólares Estadounidenses mil millones), o su equivalente en otras monedas o unidades de valor, conforme</w:t>
      </w:r>
      <w:r w:rsidRPr="00E72D98">
        <w:rPr>
          <w:rFonts w:asciiTheme="minorHAnsi" w:eastAsia="Calibri" w:hAnsiTheme="minorHAnsi"/>
          <w:sz w:val="20"/>
        </w:rPr>
        <w:t xml:space="preserve"> la </w:t>
      </w:r>
      <w:r w:rsidRPr="00AB6B54">
        <w:rPr>
          <w:rFonts w:asciiTheme="minorHAnsi" w:eastAsia="Calibri" w:hAnsiTheme="minorHAnsi" w:cstheme="minorHAnsi"/>
          <w:sz w:val="20"/>
          <w:szCs w:val="20"/>
        </w:rPr>
        <w:t>enmienda al Prospecto de</w:t>
      </w:r>
      <w:r w:rsidRPr="00E72D98">
        <w:rPr>
          <w:rFonts w:asciiTheme="minorHAnsi" w:eastAsia="Calibri" w:hAnsiTheme="minorHAnsi"/>
          <w:sz w:val="20"/>
        </w:rPr>
        <w:t xml:space="preserve"> fecha </w:t>
      </w:r>
      <w:r w:rsidRPr="00AB6B54">
        <w:rPr>
          <w:rFonts w:asciiTheme="minorHAnsi" w:eastAsia="Calibri" w:hAnsiTheme="minorHAnsi" w:cstheme="minorHAnsi"/>
          <w:sz w:val="20"/>
          <w:szCs w:val="20"/>
        </w:rPr>
        <w:t>12 de junio de 2026</w:t>
      </w:r>
      <w:r w:rsidRPr="00E72D98">
        <w:rPr>
          <w:rFonts w:asciiTheme="minorHAnsi" w:eastAsia="Calibri" w:hAnsiTheme="minorHAnsi"/>
          <w:sz w:val="20"/>
        </w:rPr>
        <w:t xml:space="preserve">. La emisión de las Obligaciones Negociables, y los términos y condiciones particulares de las mismas fueron aprobados en la reunión de Directorio de la Emisora del </w:t>
      </w:r>
      <w:r w:rsidRPr="00AB6B54">
        <w:rPr>
          <w:rFonts w:asciiTheme="minorHAnsi" w:eastAsia="Calibri" w:hAnsiTheme="minorHAnsi" w:cstheme="minorHAnsi"/>
          <w:sz w:val="20"/>
          <w:szCs w:val="20"/>
        </w:rPr>
        <w:t>28 de octubre de 2026</w:t>
      </w:r>
      <w:r w:rsidRPr="00E72D98">
        <w:rPr>
          <w:rFonts w:asciiTheme="minorHAnsi" w:eastAsia="Calibri" w:hAnsiTheme="minorHAnsi"/>
          <w:sz w:val="20"/>
        </w:rPr>
        <w:t xml:space="preserve">, en ejercicio de las facultades delegadas originalmente por la Asamblea General Ordinaria y Extraordinaria de Accionistas del </w:t>
      </w:r>
      <w:r w:rsidRPr="00AB6B54">
        <w:rPr>
          <w:rFonts w:asciiTheme="minorHAnsi" w:eastAsia="Calibri" w:hAnsiTheme="minorHAnsi" w:cstheme="minorHAnsi"/>
          <w:sz w:val="20"/>
          <w:szCs w:val="20"/>
        </w:rPr>
        <w:t xml:space="preserve">19 de marzo de 2021 (conforme fueran renovadas mediante Asamblea General Ordinaria y Extraordinaria de Accionistas de fecha </w:t>
      </w:r>
      <w:r w:rsidRPr="00E72D98">
        <w:rPr>
          <w:rFonts w:asciiTheme="minorHAnsi" w:eastAsia="Calibri" w:hAnsiTheme="minorHAnsi"/>
          <w:sz w:val="20"/>
        </w:rPr>
        <w:t>21 de noviembre de 2024</w:t>
      </w:r>
      <w:r w:rsidRPr="00AB6B54">
        <w:rPr>
          <w:rFonts w:asciiTheme="minorHAnsi" w:eastAsia="Calibri" w:hAnsiTheme="minorHAnsi" w:cstheme="minorHAnsi"/>
          <w:sz w:val="20"/>
          <w:szCs w:val="20"/>
        </w:rPr>
        <w:t>).</w:t>
      </w:r>
    </w:p>
    <w:p w14:paraId="10E79354" w14:textId="77777777" w:rsidR="00C04B93" w:rsidRPr="00E72D98" w:rsidRDefault="00C04B93" w:rsidP="00C04B93">
      <w:pPr>
        <w:widowControl w:val="0"/>
        <w:jc w:val="both"/>
        <w:rPr>
          <w:rFonts w:asciiTheme="minorHAnsi" w:eastAsia="Calibri" w:hAnsiTheme="minorHAnsi"/>
          <w:sz w:val="20"/>
        </w:rPr>
      </w:pPr>
    </w:p>
    <w:p w14:paraId="1F0BC8AC" w14:textId="77777777" w:rsidR="00C04B93" w:rsidRPr="00E72D98" w:rsidRDefault="00C04B93" w:rsidP="00C04B93">
      <w:pPr>
        <w:jc w:val="both"/>
        <w:rPr>
          <w:rFonts w:asciiTheme="minorHAnsi" w:eastAsia="Calibri" w:hAnsiTheme="minorHAnsi"/>
          <w:sz w:val="20"/>
        </w:rPr>
      </w:pPr>
      <w:r w:rsidRPr="00E72D98">
        <w:rPr>
          <w:rFonts w:asciiTheme="minorHAnsi" w:eastAsia="Calibri" w:hAnsiTheme="minorHAnsi"/>
          <w:b/>
          <w:sz w:val="20"/>
        </w:rPr>
        <w:t xml:space="preserve">Condiciones de la </w:t>
      </w:r>
      <w:r>
        <w:rPr>
          <w:rFonts w:asciiTheme="minorHAnsi" w:eastAsia="Calibri" w:hAnsiTheme="minorHAnsi" w:cstheme="minorHAnsi"/>
          <w:b/>
          <w:bCs/>
          <w:sz w:val="20"/>
          <w:szCs w:val="20"/>
        </w:rPr>
        <w:t>Orden</w:t>
      </w:r>
      <w:r w:rsidRPr="00E72D98">
        <w:rPr>
          <w:rFonts w:asciiTheme="minorHAnsi" w:eastAsia="Calibri" w:hAnsiTheme="minorHAnsi"/>
          <w:b/>
          <w:sz w:val="20"/>
        </w:rPr>
        <w:t xml:space="preserve"> de </w:t>
      </w:r>
      <w:r>
        <w:rPr>
          <w:rFonts w:asciiTheme="minorHAnsi" w:eastAsia="Calibri" w:hAnsiTheme="minorHAnsi" w:cstheme="minorHAnsi"/>
          <w:b/>
          <w:bCs/>
          <w:sz w:val="20"/>
          <w:szCs w:val="20"/>
        </w:rPr>
        <w:t>Suscripción</w:t>
      </w:r>
      <w:r w:rsidRPr="00E72D98">
        <w:rPr>
          <w:rFonts w:asciiTheme="minorHAnsi" w:eastAsia="Calibri" w:hAnsiTheme="minorHAnsi"/>
          <w:b/>
          <w:sz w:val="20"/>
        </w:rPr>
        <w:t>:</w:t>
      </w:r>
      <w:r w:rsidRPr="00E72D98">
        <w:rPr>
          <w:rFonts w:asciiTheme="minorHAnsi" w:eastAsia="Calibri" w:hAnsiTheme="minorHAnsi"/>
          <w:sz w:val="20"/>
        </w:rPr>
        <w:t xml:space="preserve"> Por medio de la presente </w:t>
      </w:r>
      <w:r>
        <w:rPr>
          <w:rFonts w:asciiTheme="minorHAnsi" w:eastAsia="Calibri" w:hAnsiTheme="minorHAnsi" w:cstheme="minorHAnsi"/>
          <w:sz w:val="20"/>
          <w:szCs w:val="20"/>
        </w:rPr>
        <w:t>Orden</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xml:space="preserve"> ofrezco adquirir las Obligaciones Negociables en siguientes cantidades y condiciones:</w:t>
      </w:r>
    </w:p>
    <w:p w14:paraId="221E2915" w14:textId="77777777" w:rsidR="00C04B93" w:rsidRPr="00E72D98" w:rsidRDefault="00C04B93" w:rsidP="00C04B93">
      <w:pPr>
        <w:jc w:val="both"/>
        <w:rPr>
          <w:rFonts w:asciiTheme="minorHAnsi" w:eastAsia="Calibri" w:hAnsiTheme="minorHAnsi"/>
          <w:sz w:val="20"/>
        </w:rPr>
      </w:pPr>
    </w:p>
    <w:p w14:paraId="7A1ABFC0" w14:textId="77777777" w:rsidR="00C04B93" w:rsidRPr="00E72D98" w:rsidRDefault="00C04B93" w:rsidP="00C04B93">
      <w:pPr>
        <w:numPr>
          <w:ilvl w:val="0"/>
          <w:numId w:val="1"/>
        </w:numPr>
        <w:tabs>
          <w:tab w:val="left" w:pos="426"/>
        </w:tabs>
        <w:ind w:right="-271" w:hanging="720"/>
        <w:jc w:val="both"/>
        <w:rPr>
          <w:rFonts w:asciiTheme="minorHAnsi" w:eastAsia="Calibri" w:hAnsiTheme="minorHAnsi"/>
          <w:b/>
          <w:sz w:val="20"/>
        </w:rPr>
      </w:pPr>
      <w:r w:rsidRPr="00E72D98">
        <w:rPr>
          <w:rFonts w:asciiTheme="minorHAnsi" w:eastAsia="Calibri" w:hAnsiTheme="minorHAnsi"/>
          <w:b/>
          <w:sz w:val="20"/>
        </w:rPr>
        <w:t>Solicitud</w:t>
      </w:r>
    </w:p>
    <w:p w14:paraId="6F3B20A2" w14:textId="77777777" w:rsidR="00C04B93" w:rsidRPr="00E72D98" w:rsidRDefault="00C04B93" w:rsidP="00C04B93">
      <w:pPr>
        <w:ind w:right="-271" w:firstLine="708"/>
        <w:jc w:val="both"/>
        <w:rPr>
          <w:rFonts w:asciiTheme="minorHAnsi" w:eastAsia="Calibri" w:hAnsiTheme="minorHAnsi"/>
          <w:sz w:val="20"/>
        </w:rPr>
      </w:pPr>
    </w:p>
    <w:p w14:paraId="4A5FD8AB" w14:textId="77777777" w:rsidR="00C04B93" w:rsidRPr="00E72D98" w:rsidRDefault="00C04B93" w:rsidP="00C04B93">
      <w:pPr>
        <w:ind w:right="-271" w:firstLine="708"/>
        <w:jc w:val="both"/>
        <w:rPr>
          <w:rFonts w:asciiTheme="minorHAnsi" w:eastAsia="Calibri" w:hAnsiTheme="minorHAnsi"/>
          <w:sz w:val="20"/>
        </w:rPr>
      </w:pPr>
      <w:r w:rsidRPr="00E72D98">
        <w:rPr>
          <w:rFonts w:asciiTheme="minorHAnsi" w:eastAsia="Calibri" w:hAnsiTheme="minorHAnsi"/>
          <w:sz w:val="20"/>
        </w:rPr>
        <w:t>Por medio de la presente, el Inversor solicita comprar las Obligaciones Negociables, en las cantidades, condiciones y conforme a los datos que se detallan a continuación:</w:t>
      </w:r>
    </w:p>
    <w:p w14:paraId="5A07EEA9" w14:textId="77777777" w:rsidR="00C04B93" w:rsidRPr="00E72D98" w:rsidRDefault="00C04B93" w:rsidP="00C04B93">
      <w:pPr>
        <w:tabs>
          <w:tab w:val="left" w:pos="5846"/>
        </w:tabs>
        <w:ind w:right="-271"/>
        <w:jc w:val="both"/>
        <w:rPr>
          <w:rFonts w:asciiTheme="minorHAnsi" w:eastAsia="Calibri" w:hAnsiTheme="minorHAnsi"/>
          <w:sz w:val="20"/>
        </w:rPr>
      </w:pPr>
      <w:r w:rsidRPr="00E72D98">
        <w:rPr>
          <w:rFonts w:asciiTheme="minorHAnsi" w:eastAsia="Calibri" w:hAnsiTheme="minorHAnsi"/>
          <w:sz w:val="20"/>
        </w:rPr>
        <w:tab/>
      </w:r>
    </w:p>
    <w:tbl>
      <w:tblPr>
        <w:tblW w:w="92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95"/>
        <w:gridCol w:w="6238"/>
      </w:tblGrid>
      <w:tr w:rsidR="00C04B93" w:rsidRPr="00AB6B54" w14:paraId="4423F1D5" w14:textId="77777777" w:rsidTr="00FB27E7">
        <w:trPr>
          <w:trHeight w:val="271"/>
          <w:jc w:val="center"/>
        </w:trPr>
        <w:tc>
          <w:tcPr>
            <w:tcW w:w="9233" w:type="dxa"/>
            <w:gridSpan w:val="2"/>
            <w:shd w:val="clear" w:color="auto" w:fill="E0E0E0"/>
          </w:tcPr>
          <w:p w14:paraId="7D5BC1BA" w14:textId="77777777" w:rsidR="00C04B93" w:rsidRPr="00E72D98" w:rsidRDefault="00C04B93" w:rsidP="00FB27E7">
            <w:pPr>
              <w:ind w:right="-271"/>
              <w:jc w:val="center"/>
              <w:rPr>
                <w:rFonts w:asciiTheme="minorHAnsi" w:eastAsia="Calibri" w:hAnsiTheme="minorHAnsi"/>
                <w:sz w:val="20"/>
              </w:rPr>
            </w:pPr>
            <w:r w:rsidRPr="00E72D98">
              <w:rPr>
                <w:rFonts w:asciiTheme="minorHAnsi" w:eastAsia="Calibri" w:hAnsiTheme="minorHAnsi"/>
                <w:b/>
                <w:smallCaps/>
                <w:sz w:val="20"/>
              </w:rPr>
              <w:t>datos del Inversor</w:t>
            </w:r>
          </w:p>
        </w:tc>
      </w:tr>
      <w:tr w:rsidR="00C04B93" w:rsidRPr="00AB6B54" w14:paraId="03BAD2C1" w14:textId="77777777" w:rsidTr="00FB27E7">
        <w:trPr>
          <w:trHeight w:val="552"/>
          <w:jc w:val="center"/>
        </w:trPr>
        <w:tc>
          <w:tcPr>
            <w:tcW w:w="2995" w:type="dxa"/>
          </w:tcPr>
          <w:p w14:paraId="32015C8F"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 xml:space="preserve">apellido y nombre o </w:t>
            </w:r>
          </w:p>
          <w:p w14:paraId="7948AE2A"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 xml:space="preserve">razón social </w:t>
            </w:r>
          </w:p>
        </w:tc>
        <w:tc>
          <w:tcPr>
            <w:tcW w:w="6238" w:type="dxa"/>
          </w:tcPr>
          <w:p w14:paraId="744E87C0" w14:textId="77777777" w:rsidR="00C04B93" w:rsidRPr="00E72D98" w:rsidRDefault="00C04B93" w:rsidP="00FB27E7">
            <w:pPr>
              <w:ind w:right="-271"/>
              <w:jc w:val="both"/>
              <w:rPr>
                <w:rFonts w:asciiTheme="minorHAnsi" w:eastAsia="Calibri" w:hAnsiTheme="minorHAnsi"/>
                <w:sz w:val="20"/>
              </w:rPr>
            </w:pPr>
          </w:p>
        </w:tc>
      </w:tr>
      <w:tr w:rsidR="00C04B93" w:rsidRPr="00AB6B54" w14:paraId="429BDF1F" w14:textId="77777777" w:rsidTr="00FB27E7">
        <w:trPr>
          <w:trHeight w:val="271"/>
          <w:jc w:val="center"/>
        </w:trPr>
        <w:tc>
          <w:tcPr>
            <w:tcW w:w="2995" w:type="dxa"/>
          </w:tcPr>
          <w:p w14:paraId="3133EF49" w14:textId="77777777" w:rsidR="00C04B93" w:rsidRPr="00E72D98" w:rsidRDefault="00C04B93" w:rsidP="00FB27E7">
            <w:pPr>
              <w:ind w:right="-271"/>
              <w:rPr>
                <w:rFonts w:asciiTheme="minorHAnsi" w:eastAsia="Calibri" w:hAnsiTheme="minorHAnsi"/>
                <w:smallCaps/>
                <w:sz w:val="20"/>
              </w:rPr>
            </w:pPr>
            <w:r w:rsidRPr="00E72D98">
              <w:rPr>
                <w:rFonts w:asciiTheme="minorHAnsi" w:eastAsia="Calibri" w:hAnsiTheme="minorHAnsi"/>
                <w:smallCaps/>
                <w:sz w:val="20"/>
              </w:rPr>
              <w:t>nacionalidad</w:t>
            </w:r>
          </w:p>
        </w:tc>
        <w:tc>
          <w:tcPr>
            <w:tcW w:w="6238" w:type="dxa"/>
          </w:tcPr>
          <w:p w14:paraId="306F8DB3" w14:textId="77777777" w:rsidR="00C04B93" w:rsidRPr="00E72D98" w:rsidRDefault="00C04B93" w:rsidP="00FB27E7">
            <w:pPr>
              <w:ind w:right="-271"/>
              <w:jc w:val="both"/>
              <w:rPr>
                <w:rFonts w:asciiTheme="minorHAnsi" w:eastAsia="Calibri" w:hAnsiTheme="minorHAnsi"/>
                <w:sz w:val="20"/>
              </w:rPr>
            </w:pPr>
          </w:p>
        </w:tc>
      </w:tr>
      <w:tr w:rsidR="00C04B93" w:rsidRPr="00AB6B54" w14:paraId="23F3F6C4" w14:textId="77777777" w:rsidTr="00FB27E7">
        <w:trPr>
          <w:trHeight w:val="271"/>
          <w:jc w:val="center"/>
        </w:trPr>
        <w:tc>
          <w:tcPr>
            <w:tcW w:w="2995" w:type="dxa"/>
          </w:tcPr>
          <w:p w14:paraId="70CB92F5"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 xml:space="preserve">le – </w:t>
            </w:r>
            <w:proofErr w:type="spellStart"/>
            <w:r w:rsidRPr="00E72D98">
              <w:rPr>
                <w:rFonts w:asciiTheme="minorHAnsi" w:eastAsia="Calibri" w:hAnsiTheme="minorHAnsi"/>
                <w:smallCaps/>
                <w:sz w:val="20"/>
              </w:rPr>
              <w:t>dni</w:t>
            </w:r>
            <w:proofErr w:type="spellEnd"/>
            <w:r w:rsidRPr="00E72D98">
              <w:rPr>
                <w:rFonts w:asciiTheme="minorHAnsi" w:eastAsia="Calibri" w:hAnsiTheme="minorHAnsi"/>
                <w:smallCaps/>
                <w:sz w:val="20"/>
              </w:rPr>
              <w:t xml:space="preserve"> – </w:t>
            </w:r>
            <w:proofErr w:type="spellStart"/>
            <w:r w:rsidRPr="00E72D98">
              <w:rPr>
                <w:rFonts w:asciiTheme="minorHAnsi" w:eastAsia="Calibri" w:hAnsiTheme="minorHAnsi"/>
                <w:smallCaps/>
                <w:sz w:val="20"/>
              </w:rPr>
              <w:t>ci</w:t>
            </w:r>
            <w:proofErr w:type="spellEnd"/>
          </w:p>
        </w:tc>
        <w:tc>
          <w:tcPr>
            <w:tcW w:w="6238" w:type="dxa"/>
          </w:tcPr>
          <w:p w14:paraId="4CD1B405" w14:textId="77777777" w:rsidR="00C04B93" w:rsidRPr="00E72D98" w:rsidRDefault="00C04B93" w:rsidP="00FB27E7">
            <w:pPr>
              <w:ind w:right="-271"/>
              <w:jc w:val="both"/>
              <w:rPr>
                <w:rFonts w:asciiTheme="minorHAnsi" w:eastAsia="Calibri" w:hAnsiTheme="minorHAnsi"/>
                <w:sz w:val="20"/>
              </w:rPr>
            </w:pPr>
          </w:p>
        </w:tc>
      </w:tr>
      <w:tr w:rsidR="00C04B93" w:rsidRPr="00AB6B54" w14:paraId="6A279D3A" w14:textId="77777777" w:rsidTr="00FB27E7">
        <w:trPr>
          <w:trHeight w:val="281"/>
          <w:jc w:val="center"/>
        </w:trPr>
        <w:tc>
          <w:tcPr>
            <w:tcW w:w="2995" w:type="dxa"/>
          </w:tcPr>
          <w:p w14:paraId="614E7399" w14:textId="77777777" w:rsidR="00C04B93" w:rsidRPr="00E72D98" w:rsidRDefault="00C04B93" w:rsidP="00FB27E7">
            <w:pPr>
              <w:ind w:right="-271"/>
              <w:rPr>
                <w:rFonts w:asciiTheme="minorHAnsi" w:eastAsia="Calibri" w:hAnsiTheme="minorHAnsi"/>
                <w:sz w:val="20"/>
              </w:rPr>
            </w:pPr>
            <w:proofErr w:type="spellStart"/>
            <w:r w:rsidRPr="00E72D98">
              <w:rPr>
                <w:rFonts w:asciiTheme="minorHAnsi" w:eastAsia="Calibri" w:hAnsiTheme="minorHAnsi"/>
                <w:smallCaps/>
                <w:sz w:val="20"/>
              </w:rPr>
              <w:t>cuit</w:t>
            </w:r>
            <w:proofErr w:type="spellEnd"/>
            <w:r w:rsidRPr="00E72D98">
              <w:rPr>
                <w:rFonts w:asciiTheme="minorHAnsi" w:eastAsia="Calibri" w:hAnsiTheme="minorHAnsi"/>
                <w:smallCaps/>
                <w:sz w:val="20"/>
              </w:rPr>
              <w:t xml:space="preserve"> / </w:t>
            </w:r>
            <w:proofErr w:type="spellStart"/>
            <w:r w:rsidRPr="00E72D98">
              <w:rPr>
                <w:rFonts w:asciiTheme="minorHAnsi" w:eastAsia="Calibri" w:hAnsiTheme="minorHAnsi"/>
                <w:smallCaps/>
                <w:sz w:val="20"/>
              </w:rPr>
              <w:t>cuil</w:t>
            </w:r>
            <w:proofErr w:type="spellEnd"/>
            <w:r w:rsidRPr="00E72D98">
              <w:rPr>
                <w:rFonts w:asciiTheme="minorHAnsi" w:eastAsia="Calibri" w:hAnsiTheme="minorHAnsi"/>
                <w:smallCaps/>
                <w:sz w:val="20"/>
              </w:rPr>
              <w:t xml:space="preserve"> / </w:t>
            </w:r>
            <w:proofErr w:type="spellStart"/>
            <w:r w:rsidRPr="00E72D98">
              <w:rPr>
                <w:rFonts w:asciiTheme="minorHAnsi" w:eastAsia="Calibri" w:hAnsiTheme="minorHAnsi"/>
                <w:smallCaps/>
                <w:sz w:val="20"/>
              </w:rPr>
              <w:t>cdi</w:t>
            </w:r>
            <w:proofErr w:type="spellEnd"/>
          </w:p>
        </w:tc>
        <w:tc>
          <w:tcPr>
            <w:tcW w:w="6238" w:type="dxa"/>
          </w:tcPr>
          <w:p w14:paraId="19B5AFD7" w14:textId="77777777" w:rsidR="00C04B93" w:rsidRPr="00E72D98" w:rsidRDefault="00C04B93" w:rsidP="00FB27E7">
            <w:pPr>
              <w:ind w:right="-271"/>
              <w:jc w:val="both"/>
              <w:rPr>
                <w:rFonts w:asciiTheme="minorHAnsi" w:eastAsia="Calibri" w:hAnsiTheme="minorHAnsi"/>
                <w:sz w:val="20"/>
              </w:rPr>
            </w:pPr>
          </w:p>
        </w:tc>
      </w:tr>
      <w:tr w:rsidR="00C04B93" w:rsidRPr="00AB6B54" w14:paraId="59923F71" w14:textId="77777777" w:rsidTr="00FB27E7">
        <w:trPr>
          <w:trHeight w:val="271"/>
          <w:jc w:val="center"/>
        </w:trPr>
        <w:tc>
          <w:tcPr>
            <w:tcW w:w="2995" w:type="dxa"/>
          </w:tcPr>
          <w:p w14:paraId="0CC796E9"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teléfono</w:t>
            </w:r>
          </w:p>
        </w:tc>
        <w:tc>
          <w:tcPr>
            <w:tcW w:w="6238" w:type="dxa"/>
          </w:tcPr>
          <w:p w14:paraId="5FF51E24" w14:textId="77777777" w:rsidR="00C04B93" w:rsidRPr="00E72D98" w:rsidRDefault="00C04B93" w:rsidP="00FB27E7">
            <w:pPr>
              <w:ind w:right="-271"/>
              <w:jc w:val="both"/>
              <w:rPr>
                <w:rFonts w:asciiTheme="minorHAnsi" w:eastAsia="Calibri" w:hAnsiTheme="minorHAnsi"/>
                <w:sz w:val="20"/>
              </w:rPr>
            </w:pPr>
          </w:p>
        </w:tc>
      </w:tr>
      <w:tr w:rsidR="00C04B93" w:rsidRPr="00AB6B54" w14:paraId="441773F8" w14:textId="77777777" w:rsidTr="00FB27E7">
        <w:trPr>
          <w:trHeight w:val="271"/>
          <w:jc w:val="center"/>
        </w:trPr>
        <w:tc>
          <w:tcPr>
            <w:tcW w:w="2995" w:type="dxa"/>
          </w:tcPr>
          <w:p w14:paraId="5A98AF43"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domicilio real / legal</w:t>
            </w:r>
          </w:p>
        </w:tc>
        <w:tc>
          <w:tcPr>
            <w:tcW w:w="6238" w:type="dxa"/>
          </w:tcPr>
          <w:p w14:paraId="2E8875AF" w14:textId="77777777" w:rsidR="00C04B93" w:rsidRPr="00E72D98" w:rsidRDefault="00C04B93" w:rsidP="00FB27E7">
            <w:pPr>
              <w:ind w:right="-271"/>
              <w:jc w:val="both"/>
              <w:rPr>
                <w:rFonts w:asciiTheme="minorHAnsi" w:eastAsia="Calibri" w:hAnsiTheme="minorHAnsi"/>
                <w:sz w:val="20"/>
              </w:rPr>
            </w:pPr>
          </w:p>
        </w:tc>
      </w:tr>
      <w:tr w:rsidR="00C04B93" w:rsidRPr="00AB6B54" w14:paraId="4DE049DF" w14:textId="77777777" w:rsidTr="00FB27E7">
        <w:trPr>
          <w:trHeight w:val="281"/>
          <w:jc w:val="center"/>
        </w:trPr>
        <w:tc>
          <w:tcPr>
            <w:tcW w:w="2995" w:type="dxa"/>
          </w:tcPr>
          <w:p w14:paraId="52C8D02D" w14:textId="77777777" w:rsidR="00C04B93" w:rsidRPr="00E72D98" w:rsidRDefault="00C04B93" w:rsidP="00FB27E7">
            <w:pPr>
              <w:ind w:right="-271"/>
              <w:rPr>
                <w:rFonts w:asciiTheme="minorHAnsi" w:eastAsia="Calibri" w:hAnsiTheme="minorHAnsi"/>
                <w:smallCaps/>
                <w:sz w:val="20"/>
              </w:rPr>
            </w:pPr>
            <w:r w:rsidRPr="00E72D98">
              <w:rPr>
                <w:rFonts w:asciiTheme="minorHAnsi" w:eastAsia="Calibri" w:hAnsiTheme="minorHAnsi"/>
                <w:smallCaps/>
                <w:sz w:val="20"/>
              </w:rPr>
              <w:t>mail</w:t>
            </w:r>
          </w:p>
        </w:tc>
        <w:tc>
          <w:tcPr>
            <w:tcW w:w="6238" w:type="dxa"/>
          </w:tcPr>
          <w:p w14:paraId="7CE73B71" w14:textId="77777777" w:rsidR="00C04B93" w:rsidRPr="00E72D98" w:rsidRDefault="00C04B93" w:rsidP="00FB27E7">
            <w:pPr>
              <w:ind w:right="-271"/>
              <w:jc w:val="both"/>
              <w:rPr>
                <w:rFonts w:asciiTheme="minorHAnsi" w:eastAsia="Calibri" w:hAnsiTheme="minorHAnsi"/>
                <w:sz w:val="20"/>
              </w:rPr>
            </w:pPr>
          </w:p>
        </w:tc>
      </w:tr>
      <w:tr w:rsidR="00C04B93" w:rsidRPr="00AB6B54" w14:paraId="4DF60D9B" w14:textId="77777777" w:rsidTr="00FB27E7">
        <w:trPr>
          <w:trHeight w:val="271"/>
          <w:jc w:val="center"/>
        </w:trPr>
        <w:tc>
          <w:tcPr>
            <w:tcW w:w="2995" w:type="dxa"/>
          </w:tcPr>
          <w:p w14:paraId="307ED88A"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tipo de Inversor</w:t>
            </w:r>
            <w:r w:rsidRPr="00E72D98">
              <w:rPr>
                <w:rFonts w:asciiTheme="minorHAnsi" w:eastAsia="Calibri" w:hAnsiTheme="minorHAnsi"/>
                <w:smallCaps/>
                <w:sz w:val="20"/>
                <w:vertAlign w:val="superscript"/>
              </w:rPr>
              <w:t>(*)</w:t>
            </w:r>
          </w:p>
        </w:tc>
        <w:tc>
          <w:tcPr>
            <w:tcW w:w="6238" w:type="dxa"/>
          </w:tcPr>
          <w:p w14:paraId="0D45E886" w14:textId="77777777" w:rsidR="00C04B93" w:rsidRPr="00E72D98" w:rsidRDefault="00C04B93" w:rsidP="00FB27E7">
            <w:pPr>
              <w:ind w:right="-271"/>
              <w:jc w:val="both"/>
              <w:rPr>
                <w:rFonts w:asciiTheme="minorHAnsi" w:eastAsia="Calibri" w:hAnsiTheme="minorHAnsi"/>
                <w:sz w:val="20"/>
              </w:rPr>
            </w:pPr>
          </w:p>
        </w:tc>
      </w:tr>
      <w:tr w:rsidR="00C04B93" w:rsidRPr="00AB6B54" w14:paraId="59702590" w14:textId="77777777" w:rsidTr="00FB27E7">
        <w:trPr>
          <w:trHeight w:val="271"/>
          <w:jc w:val="center"/>
        </w:trPr>
        <w:tc>
          <w:tcPr>
            <w:tcW w:w="2995" w:type="dxa"/>
          </w:tcPr>
          <w:p w14:paraId="7374E499"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actividad principal:</w:t>
            </w:r>
          </w:p>
        </w:tc>
        <w:tc>
          <w:tcPr>
            <w:tcW w:w="6238" w:type="dxa"/>
          </w:tcPr>
          <w:p w14:paraId="6672B3FF" w14:textId="77777777" w:rsidR="00C04B93" w:rsidRPr="00E72D98" w:rsidRDefault="00C04B93" w:rsidP="00FB27E7">
            <w:pPr>
              <w:ind w:right="-271"/>
              <w:jc w:val="both"/>
              <w:rPr>
                <w:rFonts w:asciiTheme="minorHAnsi" w:eastAsia="Calibri" w:hAnsiTheme="minorHAnsi"/>
                <w:sz w:val="20"/>
              </w:rPr>
            </w:pPr>
          </w:p>
        </w:tc>
      </w:tr>
      <w:tr w:rsidR="00C04B93" w:rsidRPr="00AB6B54" w14:paraId="254DE71B" w14:textId="77777777" w:rsidTr="00FB27E7">
        <w:trPr>
          <w:trHeight w:val="281"/>
          <w:jc w:val="center"/>
        </w:trPr>
        <w:tc>
          <w:tcPr>
            <w:tcW w:w="2995" w:type="dxa"/>
          </w:tcPr>
          <w:p w14:paraId="3E5DDCAE"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 xml:space="preserve">cuenta depositante </w:t>
            </w:r>
            <w:proofErr w:type="spellStart"/>
            <w:r w:rsidRPr="00E72D98">
              <w:rPr>
                <w:rFonts w:asciiTheme="minorHAnsi" w:eastAsia="Calibri" w:hAnsiTheme="minorHAnsi"/>
                <w:smallCaps/>
                <w:sz w:val="20"/>
              </w:rPr>
              <w:t>n°</w:t>
            </w:r>
            <w:proofErr w:type="spellEnd"/>
            <w:r w:rsidRPr="00E72D98">
              <w:rPr>
                <w:rFonts w:asciiTheme="minorHAnsi" w:eastAsia="Calibri" w:hAnsiTheme="minorHAnsi"/>
                <w:smallCaps/>
                <w:sz w:val="20"/>
              </w:rPr>
              <w:t>:</w:t>
            </w:r>
          </w:p>
        </w:tc>
        <w:tc>
          <w:tcPr>
            <w:tcW w:w="6238" w:type="dxa"/>
          </w:tcPr>
          <w:p w14:paraId="31E7D11C" w14:textId="77777777" w:rsidR="00C04B93" w:rsidRPr="00E72D98" w:rsidRDefault="00C04B93" w:rsidP="00FB27E7">
            <w:pPr>
              <w:ind w:right="-271"/>
              <w:jc w:val="both"/>
              <w:rPr>
                <w:rFonts w:asciiTheme="minorHAnsi" w:eastAsia="Calibri" w:hAnsiTheme="minorHAnsi"/>
                <w:sz w:val="20"/>
              </w:rPr>
            </w:pPr>
          </w:p>
        </w:tc>
      </w:tr>
      <w:tr w:rsidR="00C04B93" w:rsidRPr="00AB6B54" w14:paraId="48779033" w14:textId="77777777" w:rsidTr="00FB27E7">
        <w:trPr>
          <w:trHeight w:val="271"/>
          <w:jc w:val="center"/>
        </w:trPr>
        <w:tc>
          <w:tcPr>
            <w:tcW w:w="2995" w:type="dxa"/>
          </w:tcPr>
          <w:p w14:paraId="38A7B8AC"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lastRenderedPageBreak/>
              <w:t xml:space="preserve">cuenta comitente </w:t>
            </w:r>
            <w:proofErr w:type="spellStart"/>
            <w:r w:rsidRPr="00E72D98">
              <w:rPr>
                <w:rFonts w:asciiTheme="minorHAnsi" w:eastAsia="Calibri" w:hAnsiTheme="minorHAnsi"/>
                <w:smallCaps/>
                <w:sz w:val="20"/>
              </w:rPr>
              <w:t>n°</w:t>
            </w:r>
            <w:proofErr w:type="spellEnd"/>
            <w:r w:rsidRPr="00E72D98">
              <w:rPr>
                <w:rFonts w:asciiTheme="minorHAnsi" w:eastAsia="Calibri" w:hAnsiTheme="minorHAnsi"/>
                <w:smallCaps/>
                <w:sz w:val="20"/>
              </w:rPr>
              <w:t>:</w:t>
            </w:r>
          </w:p>
        </w:tc>
        <w:tc>
          <w:tcPr>
            <w:tcW w:w="6238" w:type="dxa"/>
          </w:tcPr>
          <w:p w14:paraId="15646B5D" w14:textId="77777777" w:rsidR="00C04B93" w:rsidRPr="00E72D98" w:rsidRDefault="00C04B93" w:rsidP="00FB27E7">
            <w:pPr>
              <w:ind w:right="-271"/>
              <w:jc w:val="both"/>
              <w:rPr>
                <w:rFonts w:asciiTheme="minorHAnsi" w:eastAsia="Calibri" w:hAnsiTheme="minorHAnsi"/>
                <w:sz w:val="20"/>
              </w:rPr>
            </w:pPr>
          </w:p>
        </w:tc>
      </w:tr>
      <w:tr w:rsidR="00C04B93" w:rsidRPr="00AB6B54" w14:paraId="04F264A1" w14:textId="77777777" w:rsidTr="00FB27E7">
        <w:trPr>
          <w:trHeight w:val="542"/>
          <w:jc w:val="center"/>
        </w:trPr>
        <w:tc>
          <w:tcPr>
            <w:tcW w:w="2995" w:type="dxa"/>
          </w:tcPr>
          <w:p w14:paraId="2DE3BDF5" w14:textId="77777777" w:rsidR="00C04B93" w:rsidRPr="00E72D98" w:rsidRDefault="00C04B93" w:rsidP="00FB27E7">
            <w:pPr>
              <w:ind w:right="-271"/>
              <w:rPr>
                <w:rFonts w:asciiTheme="minorHAnsi" w:eastAsia="Calibri" w:hAnsiTheme="minorHAnsi"/>
                <w:sz w:val="20"/>
              </w:rPr>
            </w:pPr>
            <w:r w:rsidRPr="00E72D98">
              <w:rPr>
                <w:rFonts w:asciiTheme="minorHAnsi" w:eastAsia="Calibri" w:hAnsiTheme="minorHAnsi"/>
                <w:smallCaps/>
                <w:sz w:val="20"/>
              </w:rPr>
              <w:t xml:space="preserve">cuenta corriente/caja de ahorro/ cuenta única </w:t>
            </w:r>
            <w:proofErr w:type="spellStart"/>
            <w:r w:rsidRPr="00E72D98">
              <w:rPr>
                <w:rFonts w:asciiTheme="minorHAnsi" w:eastAsia="Calibri" w:hAnsiTheme="minorHAnsi"/>
                <w:smallCaps/>
                <w:sz w:val="20"/>
              </w:rPr>
              <w:t>n°</w:t>
            </w:r>
            <w:proofErr w:type="spellEnd"/>
            <w:r w:rsidRPr="00E72D98">
              <w:rPr>
                <w:rFonts w:asciiTheme="minorHAnsi" w:eastAsia="Calibri" w:hAnsiTheme="minorHAnsi"/>
                <w:smallCaps/>
                <w:sz w:val="20"/>
              </w:rPr>
              <w:t>:</w:t>
            </w:r>
          </w:p>
        </w:tc>
        <w:tc>
          <w:tcPr>
            <w:tcW w:w="6238" w:type="dxa"/>
          </w:tcPr>
          <w:p w14:paraId="14FB3A25" w14:textId="77777777" w:rsidR="00C04B93" w:rsidRPr="00E72D98" w:rsidRDefault="00C04B93" w:rsidP="00FB27E7">
            <w:pPr>
              <w:ind w:right="-271"/>
              <w:jc w:val="both"/>
              <w:rPr>
                <w:rFonts w:asciiTheme="minorHAnsi" w:eastAsia="Calibri" w:hAnsiTheme="minorHAnsi"/>
                <w:sz w:val="20"/>
              </w:rPr>
            </w:pPr>
          </w:p>
        </w:tc>
      </w:tr>
    </w:tbl>
    <w:p w14:paraId="620B1707" w14:textId="77777777" w:rsidR="00C04B93" w:rsidRPr="00E72D98" w:rsidRDefault="00C04B93" w:rsidP="00C04B93">
      <w:pPr>
        <w:ind w:right="-90"/>
        <w:jc w:val="both"/>
        <w:rPr>
          <w:rFonts w:asciiTheme="minorHAnsi" w:eastAsia="Calibri" w:hAnsiTheme="minorHAnsi"/>
          <w:i/>
          <w:sz w:val="20"/>
          <w:vertAlign w:val="superscript"/>
        </w:rPr>
      </w:pPr>
    </w:p>
    <w:p w14:paraId="5E7F5DA1" w14:textId="77777777" w:rsidR="00C04B93" w:rsidRPr="00E72D98" w:rsidRDefault="00C04B93" w:rsidP="00C04B93">
      <w:pPr>
        <w:ind w:right="-90"/>
        <w:jc w:val="both"/>
        <w:rPr>
          <w:rFonts w:asciiTheme="minorHAnsi" w:eastAsia="Calibri" w:hAnsiTheme="minorHAnsi"/>
          <w:i/>
          <w:sz w:val="20"/>
        </w:rPr>
      </w:pPr>
      <w:r w:rsidRPr="00E72D98">
        <w:rPr>
          <w:rFonts w:asciiTheme="minorHAnsi" w:eastAsia="Calibri" w:hAnsiTheme="minorHAnsi"/>
          <w:i/>
          <w:sz w:val="20"/>
          <w:vertAlign w:val="superscript"/>
        </w:rPr>
        <w:t>(*)</w:t>
      </w:r>
      <w:r w:rsidRPr="00E72D98">
        <w:rPr>
          <w:rFonts w:asciiTheme="minorHAnsi" w:eastAsia="Calibri" w:hAnsiTheme="minorHAnsi"/>
          <w:i/>
          <w:sz w:val="20"/>
        </w:rPr>
        <w:t>Inversor Institucional Local, Fondos Comunes de Inversión abiertos o cerrados, fondos de inversión locales, Compañías de Seguros y/o cualquier otro inversor que de acuerdo a los usos y prácticas del mercado de capitales, posea la calidad de inversor institucional local; Inversor Minorista (personas humana o sucesiones indivisas y/o personas jurídicas que no sean inversores Institucionales Locales); o Inversor Extranjero (persona humana o jurídica que no reside ni se encuentra establecida en la Argentina).</w:t>
      </w:r>
    </w:p>
    <w:p w14:paraId="5737CD84" w14:textId="77777777" w:rsidR="00C04B93" w:rsidRPr="00E72D98" w:rsidRDefault="00C04B93" w:rsidP="00C04B93">
      <w:pPr>
        <w:ind w:right="-90"/>
        <w:jc w:val="both"/>
        <w:rPr>
          <w:rFonts w:asciiTheme="minorHAnsi" w:eastAsia="Calibri" w:hAnsiTheme="minorHAnsi"/>
          <w:i/>
          <w:sz w:val="20"/>
        </w:rPr>
      </w:pPr>
    </w:p>
    <w:p w14:paraId="12D42D9A" w14:textId="77777777" w:rsidR="00C04B93" w:rsidRPr="00E72D98" w:rsidRDefault="00C04B93" w:rsidP="00C04B93">
      <w:pPr>
        <w:jc w:val="both"/>
        <w:rPr>
          <w:rFonts w:asciiTheme="minorHAnsi" w:eastAsia="Calibri" w:hAnsiTheme="minorHAnsi"/>
          <w:i/>
          <w:sz w:val="20"/>
        </w:rPr>
      </w:pPr>
      <w:r w:rsidRPr="00E72D98">
        <w:rPr>
          <w:rFonts w:asciiTheme="minorHAnsi" w:eastAsia="Calibri" w:hAnsiTheme="minorHAnsi"/>
          <w:i/>
          <w:sz w:val="20"/>
        </w:rPr>
        <w:t xml:space="preserve">El Inversor autoriza e instruye irrevocablemente al Colocador para que: </w:t>
      </w:r>
      <w:r w:rsidRPr="00E72D98">
        <w:rPr>
          <w:rFonts w:asciiTheme="minorHAnsi" w:eastAsia="Calibri" w:hAnsiTheme="minorHAnsi"/>
          <w:b/>
          <w:i/>
          <w:sz w:val="20"/>
        </w:rPr>
        <w:t>(i)</w:t>
      </w:r>
      <w:r w:rsidRPr="00E72D98">
        <w:rPr>
          <w:rFonts w:asciiTheme="minorHAnsi" w:eastAsia="Calibri" w:hAnsiTheme="minorHAnsi"/>
          <w:i/>
          <w:sz w:val="20"/>
        </w:rPr>
        <w:t xml:space="preserve"> en la fecha que corresponda efectuar la correspondiente integración del monto a integrar de las Obligaciones Negociables, debite el monto correspondiente </w:t>
      </w:r>
      <w:r w:rsidRPr="00AB6B54">
        <w:rPr>
          <w:rFonts w:asciiTheme="minorHAnsi" w:eastAsia="Calibri" w:hAnsiTheme="minorHAnsi" w:cstheme="minorHAnsi"/>
          <w:i/>
          <w:iCs/>
          <w:sz w:val="20"/>
          <w:szCs w:val="20"/>
        </w:rPr>
        <w:t xml:space="preserve">en Dólares Estadounidenses en Argentina </w:t>
      </w:r>
      <w:r w:rsidRPr="00E72D98">
        <w:rPr>
          <w:rFonts w:asciiTheme="minorHAnsi" w:eastAsia="Calibri" w:hAnsiTheme="minorHAnsi"/>
          <w:i/>
          <w:sz w:val="20"/>
        </w:rPr>
        <w:t xml:space="preserve">–aun en descubierto- de la cuenta corriente o caja de ahorro indicada en la presente, en caso de que la presente </w:t>
      </w:r>
      <w:r>
        <w:rPr>
          <w:rFonts w:asciiTheme="minorHAnsi" w:eastAsia="Calibri" w:hAnsiTheme="minorHAnsi" w:cstheme="minorHAnsi"/>
          <w:i/>
          <w:iCs/>
          <w:sz w:val="20"/>
          <w:szCs w:val="20"/>
        </w:rPr>
        <w:t>Orden</w:t>
      </w:r>
      <w:r w:rsidRPr="00E72D98">
        <w:rPr>
          <w:rFonts w:asciiTheme="minorHAnsi" w:eastAsia="Calibri" w:hAnsiTheme="minorHAnsi"/>
          <w:i/>
          <w:sz w:val="20"/>
        </w:rPr>
        <w:t xml:space="preserve"> de </w:t>
      </w:r>
      <w:r>
        <w:rPr>
          <w:rFonts w:asciiTheme="minorHAnsi" w:eastAsia="Calibri" w:hAnsiTheme="minorHAnsi" w:cstheme="minorHAnsi"/>
          <w:i/>
          <w:iCs/>
          <w:sz w:val="20"/>
          <w:szCs w:val="20"/>
        </w:rPr>
        <w:t>Suscripción</w:t>
      </w:r>
      <w:r w:rsidRPr="00E72D98">
        <w:rPr>
          <w:rFonts w:asciiTheme="minorHAnsi" w:eastAsia="Calibri" w:hAnsiTheme="minorHAnsi"/>
          <w:i/>
          <w:sz w:val="20"/>
        </w:rPr>
        <w:t xml:space="preserve"> resulte adjudicada; y </w:t>
      </w:r>
      <w:r w:rsidRPr="00E72D98">
        <w:rPr>
          <w:rFonts w:asciiTheme="minorHAnsi" w:eastAsia="Calibri" w:hAnsiTheme="minorHAnsi"/>
          <w:b/>
          <w:i/>
          <w:sz w:val="20"/>
        </w:rPr>
        <w:t>(</w:t>
      </w:r>
      <w:proofErr w:type="spellStart"/>
      <w:r w:rsidRPr="00E72D98">
        <w:rPr>
          <w:rFonts w:asciiTheme="minorHAnsi" w:eastAsia="Calibri" w:hAnsiTheme="minorHAnsi"/>
          <w:b/>
          <w:i/>
          <w:sz w:val="20"/>
        </w:rPr>
        <w:t>ii</w:t>
      </w:r>
      <w:proofErr w:type="spellEnd"/>
      <w:r w:rsidRPr="00E72D98">
        <w:rPr>
          <w:rFonts w:asciiTheme="minorHAnsi" w:eastAsia="Calibri" w:hAnsiTheme="minorHAnsi"/>
          <w:i/>
          <w:sz w:val="20"/>
        </w:rPr>
        <w:t xml:space="preserve">) acredite la totalidad de las Obligaciones Negociables que le hubiesen sido </w:t>
      </w:r>
      <w:r w:rsidRPr="00AB6B54">
        <w:rPr>
          <w:rFonts w:asciiTheme="minorHAnsi" w:eastAsia="Calibri" w:hAnsiTheme="minorHAnsi" w:cstheme="minorHAnsi"/>
          <w:i/>
          <w:iCs/>
          <w:sz w:val="20"/>
          <w:szCs w:val="20"/>
        </w:rPr>
        <w:t>adjudicadas e</w:t>
      </w:r>
      <w:r w:rsidRPr="00E72D98">
        <w:rPr>
          <w:rFonts w:asciiTheme="minorHAnsi" w:eastAsia="Calibri" w:hAnsiTheme="minorHAnsi"/>
          <w:i/>
          <w:sz w:val="20"/>
        </w:rPr>
        <w:t xml:space="preserve"> integradas </w:t>
      </w:r>
      <w:r w:rsidRPr="00AB6B54">
        <w:rPr>
          <w:rFonts w:asciiTheme="minorHAnsi" w:eastAsia="Calibri" w:hAnsiTheme="minorHAnsi" w:cstheme="minorHAnsi"/>
          <w:i/>
          <w:iCs/>
          <w:sz w:val="20"/>
          <w:szCs w:val="20"/>
        </w:rPr>
        <w:t>en</w:t>
      </w:r>
      <w:r w:rsidRPr="00AB6B54">
        <w:rPr>
          <w:rFonts w:asciiTheme="minorHAnsi" w:eastAsia="Calibri" w:hAnsiTheme="minorHAnsi" w:cstheme="minorHAnsi"/>
          <w:i/>
          <w:sz w:val="20"/>
          <w:szCs w:val="20"/>
        </w:rPr>
        <w:t xml:space="preserve"> la cuenta comitente </w:t>
      </w:r>
      <w:r w:rsidRPr="00E72D98">
        <w:rPr>
          <w:rFonts w:asciiTheme="minorHAnsi" w:eastAsia="Calibri" w:hAnsiTheme="minorHAnsi"/>
          <w:i/>
          <w:sz w:val="20"/>
        </w:rPr>
        <w:t xml:space="preserve">o en la cuenta </w:t>
      </w:r>
      <w:r w:rsidRPr="00AB6B54">
        <w:rPr>
          <w:rFonts w:asciiTheme="minorHAnsi" w:eastAsia="Calibri" w:hAnsiTheme="minorHAnsi" w:cstheme="minorHAnsi"/>
          <w:i/>
          <w:iCs/>
          <w:sz w:val="20"/>
          <w:szCs w:val="20"/>
        </w:rPr>
        <w:t>del custodio participante</w:t>
      </w:r>
      <w:r w:rsidRPr="00AB6B54">
        <w:rPr>
          <w:rFonts w:asciiTheme="minorHAnsi" w:eastAsia="Calibri" w:hAnsiTheme="minorHAnsi" w:cstheme="minorHAnsi"/>
          <w:i/>
          <w:sz w:val="20"/>
          <w:szCs w:val="20"/>
        </w:rPr>
        <w:t xml:space="preserve"> en </w:t>
      </w:r>
      <w:r w:rsidRPr="00AB6B54">
        <w:rPr>
          <w:rFonts w:asciiTheme="minorHAnsi" w:eastAsia="Calibri" w:hAnsiTheme="minorHAnsi" w:cstheme="minorHAnsi"/>
          <w:i/>
          <w:iCs/>
          <w:sz w:val="20"/>
          <w:szCs w:val="20"/>
        </w:rPr>
        <w:t>Clear</w:t>
      </w:r>
      <w:r w:rsidRPr="00AB6B54">
        <w:rPr>
          <w:rFonts w:asciiTheme="minorHAnsi" w:eastAsia="Calibri" w:hAnsiTheme="minorHAnsi" w:cstheme="minorHAnsi"/>
          <w:i/>
          <w:sz w:val="20"/>
          <w:szCs w:val="20"/>
        </w:rPr>
        <w:t xml:space="preserve"> que </w:t>
      </w:r>
      <w:r w:rsidRPr="00AB6B54">
        <w:rPr>
          <w:rFonts w:asciiTheme="minorHAnsi" w:eastAsia="Calibri" w:hAnsiTheme="minorHAnsi" w:cstheme="minorHAnsi"/>
          <w:i/>
          <w:iCs/>
          <w:sz w:val="20"/>
          <w:szCs w:val="20"/>
        </w:rPr>
        <w:t>el Inversor indique</w:t>
      </w:r>
      <w:r w:rsidRPr="00E72D98">
        <w:rPr>
          <w:rFonts w:asciiTheme="minorHAnsi" w:eastAsia="Calibri" w:hAnsiTheme="minorHAnsi"/>
          <w:i/>
          <w:sz w:val="20"/>
        </w:rPr>
        <w:t xml:space="preserve"> en esta </w:t>
      </w:r>
      <w:r>
        <w:rPr>
          <w:rFonts w:asciiTheme="minorHAnsi" w:eastAsia="Calibri" w:hAnsiTheme="minorHAnsi" w:cstheme="minorHAnsi"/>
          <w:i/>
          <w:iCs/>
          <w:sz w:val="20"/>
          <w:szCs w:val="20"/>
        </w:rPr>
        <w:t>Orden</w:t>
      </w:r>
      <w:r w:rsidRPr="00E72D98">
        <w:rPr>
          <w:rFonts w:asciiTheme="minorHAnsi" w:eastAsia="Calibri" w:hAnsiTheme="minorHAnsi"/>
          <w:i/>
          <w:sz w:val="20"/>
        </w:rPr>
        <w:t xml:space="preserve"> de </w:t>
      </w:r>
      <w:r>
        <w:rPr>
          <w:rFonts w:asciiTheme="minorHAnsi" w:eastAsia="Calibri" w:hAnsiTheme="minorHAnsi" w:cstheme="minorHAnsi"/>
          <w:i/>
          <w:iCs/>
          <w:sz w:val="20"/>
          <w:szCs w:val="20"/>
        </w:rPr>
        <w:t>Suscripción</w:t>
      </w:r>
      <w:r w:rsidRPr="00E72D98">
        <w:rPr>
          <w:rFonts w:asciiTheme="minorHAnsi" w:eastAsia="Calibri" w:hAnsiTheme="minorHAnsi"/>
          <w:i/>
          <w:sz w:val="20"/>
        </w:rPr>
        <w:t>.</w:t>
      </w:r>
      <w:r w:rsidRPr="00E72D98" w:rsidDel="007667EF">
        <w:rPr>
          <w:rFonts w:asciiTheme="minorHAnsi" w:eastAsia="Calibri" w:hAnsiTheme="minorHAnsi"/>
          <w:i/>
          <w:sz w:val="20"/>
        </w:rPr>
        <w:t xml:space="preserve"> </w:t>
      </w:r>
    </w:p>
    <w:p w14:paraId="70E62EF4" w14:textId="77777777" w:rsidR="00C04B93" w:rsidRPr="00E72D98" w:rsidRDefault="00C04B93" w:rsidP="00C04B93">
      <w:pPr>
        <w:jc w:val="both"/>
        <w:rPr>
          <w:rFonts w:asciiTheme="minorHAnsi" w:eastAsia="Calibri" w:hAnsiTheme="minorHAnsi"/>
          <w:sz w:val="20"/>
        </w:rPr>
      </w:pPr>
    </w:p>
    <w:tbl>
      <w:tblPr>
        <w:tblW w:w="69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1868"/>
        <w:gridCol w:w="1470"/>
      </w:tblGrid>
      <w:tr w:rsidR="00C04B93" w:rsidRPr="00AB6B54" w14:paraId="4CA37074" w14:textId="77777777" w:rsidTr="00FB27E7">
        <w:trPr>
          <w:jc w:val="center"/>
        </w:trPr>
        <w:tc>
          <w:tcPr>
            <w:tcW w:w="3660" w:type="dxa"/>
            <w:tcBorders>
              <w:bottom w:val="single" w:sz="4" w:space="0" w:color="000000"/>
            </w:tcBorders>
            <w:vAlign w:val="center"/>
          </w:tcPr>
          <w:p w14:paraId="49A447D1" w14:textId="77777777" w:rsidR="00C04B93" w:rsidRPr="00E72D98" w:rsidRDefault="00C04B93" w:rsidP="00FB27E7">
            <w:pPr>
              <w:keepNext/>
              <w:jc w:val="center"/>
              <w:rPr>
                <w:rFonts w:asciiTheme="minorHAnsi" w:eastAsia="Calibri" w:hAnsiTheme="minorHAnsi"/>
                <w:b/>
                <w:sz w:val="20"/>
              </w:rPr>
            </w:pPr>
            <w:r w:rsidRPr="00E72D98">
              <w:rPr>
                <w:rFonts w:asciiTheme="minorHAnsi" w:eastAsia="Calibri" w:hAnsiTheme="minorHAnsi"/>
                <w:b/>
                <w:sz w:val="20"/>
              </w:rPr>
              <w:t>Monto Solicitado</w:t>
            </w:r>
            <w:r w:rsidRPr="00E72D98">
              <w:rPr>
                <w:rFonts w:asciiTheme="minorHAnsi" w:eastAsia="Calibri" w:hAnsiTheme="minorHAnsi"/>
                <w:b/>
                <w:sz w:val="20"/>
                <w:vertAlign w:val="superscript"/>
              </w:rPr>
              <w:t>1</w:t>
            </w:r>
          </w:p>
        </w:tc>
        <w:tc>
          <w:tcPr>
            <w:tcW w:w="1868" w:type="dxa"/>
            <w:tcBorders>
              <w:bottom w:val="single" w:sz="4" w:space="0" w:color="000000"/>
            </w:tcBorders>
            <w:vAlign w:val="center"/>
          </w:tcPr>
          <w:p w14:paraId="3E63FC76" w14:textId="77777777" w:rsidR="00C04B93" w:rsidRPr="00E72D98" w:rsidRDefault="00C04B93" w:rsidP="00FB27E7">
            <w:pPr>
              <w:keepNext/>
              <w:jc w:val="center"/>
              <w:rPr>
                <w:rFonts w:asciiTheme="minorHAnsi" w:eastAsia="Calibri" w:hAnsiTheme="minorHAnsi"/>
                <w:b/>
                <w:sz w:val="20"/>
              </w:rPr>
            </w:pPr>
            <w:r w:rsidRPr="00E72D98">
              <w:rPr>
                <w:rFonts w:asciiTheme="minorHAnsi" w:eastAsia="Calibri" w:hAnsiTheme="minorHAnsi"/>
                <w:b/>
                <w:sz w:val="20"/>
              </w:rPr>
              <w:t>Tasa Fija Solicitada</w:t>
            </w:r>
            <w:r w:rsidRPr="00E72D98">
              <w:rPr>
                <w:rFonts w:asciiTheme="minorHAnsi" w:eastAsia="Calibri" w:hAnsiTheme="minorHAnsi"/>
                <w:b/>
                <w:sz w:val="20"/>
                <w:vertAlign w:val="superscript"/>
              </w:rPr>
              <w:t>2</w:t>
            </w:r>
          </w:p>
        </w:tc>
        <w:tc>
          <w:tcPr>
            <w:tcW w:w="1470" w:type="dxa"/>
            <w:tcBorders>
              <w:bottom w:val="single" w:sz="4" w:space="0" w:color="000000"/>
            </w:tcBorders>
          </w:tcPr>
          <w:p w14:paraId="1CD9050C" w14:textId="77777777" w:rsidR="00C04B93" w:rsidRPr="00E72D98" w:rsidRDefault="00C04B93" w:rsidP="00FB27E7">
            <w:pPr>
              <w:keepNext/>
              <w:jc w:val="center"/>
              <w:rPr>
                <w:rFonts w:asciiTheme="minorHAnsi" w:eastAsia="Calibri" w:hAnsiTheme="minorHAnsi"/>
                <w:b/>
                <w:sz w:val="20"/>
              </w:rPr>
            </w:pPr>
            <w:r w:rsidRPr="00E72D98">
              <w:rPr>
                <w:rFonts w:asciiTheme="minorHAnsi" w:eastAsia="Calibri" w:hAnsiTheme="minorHAnsi"/>
                <w:b/>
                <w:sz w:val="20"/>
              </w:rPr>
              <w:t>Porcentaje máximo de adjudicación</w:t>
            </w:r>
            <w:r w:rsidRPr="00E72D98">
              <w:rPr>
                <w:rFonts w:asciiTheme="minorHAnsi" w:eastAsia="Calibri" w:hAnsiTheme="minorHAnsi"/>
                <w:b/>
                <w:sz w:val="20"/>
                <w:vertAlign w:val="superscript"/>
              </w:rPr>
              <w:t>3</w:t>
            </w:r>
            <w:r w:rsidRPr="00E72D98">
              <w:rPr>
                <w:rFonts w:asciiTheme="minorHAnsi" w:eastAsia="Calibri" w:hAnsiTheme="minorHAnsi"/>
                <w:b/>
                <w:sz w:val="20"/>
              </w:rPr>
              <w:t xml:space="preserve"> </w:t>
            </w:r>
          </w:p>
        </w:tc>
      </w:tr>
      <w:tr w:rsidR="00C04B93" w:rsidRPr="00AB6B54" w14:paraId="44D68E53" w14:textId="77777777" w:rsidTr="00FB27E7">
        <w:trPr>
          <w:trHeight w:val="511"/>
          <w:jc w:val="center"/>
        </w:trPr>
        <w:tc>
          <w:tcPr>
            <w:tcW w:w="3660" w:type="dxa"/>
            <w:vMerge w:val="restart"/>
            <w:vAlign w:val="center"/>
          </w:tcPr>
          <w:p w14:paraId="351DFCD7" w14:textId="77777777" w:rsidR="00C04B93" w:rsidRPr="00E72D98" w:rsidRDefault="00C04B93" w:rsidP="00FB27E7">
            <w:pPr>
              <w:rPr>
                <w:rFonts w:asciiTheme="minorHAnsi" w:eastAsia="Calibri" w:hAnsiTheme="minorHAnsi"/>
                <w:sz w:val="20"/>
              </w:rPr>
            </w:pPr>
            <w:r w:rsidRPr="00E72D98">
              <w:rPr>
                <w:rFonts w:asciiTheme="minorHAnsi" w:eastAsia="Calibri" w:hAnsiTheme="minorHAnsi"/>
                <w:sz w:val="20"/>
              </w:rPr>
              <w:t>Dólares: ________________________________</w:t>
            </w:r>
          </w:p>
          <w:p w14:paraId="5A7990C1" w14:textId="77777777" w:rsidR="00C04B93" w:rsidRPr="00E72D98" w:rsidRDefault="00C04B93" w:rsidP="00FB27E7">
            <w:pPr>
              <w:rPr>
                <w:rFonts w:asciiTheme="minorHAnsi" w:eastAsia="Calibri" w:hAnsiTheme="minorHAnsi"/>
                <w:sz w:val="20"/>
              </w:rPr>
            </w:pPr>
            <w:r w:rsidRPr="00E72D98">
              <w:rPr>
                <w:rFonts w:asciiTheme="minorHAnsi" w:eastAsia="Calibri" w:hAnsiTheme="minorHAnsi"/>
                <w:sz w:val="20"/>
              </w:rPr>
              <w:t>Son Dólares (en letras):</w:t>
            </w:r>
          </w:p>
          <w:p w14:paraId="04B3355A" w14:textId="77777777" w:rsidR="00C04B93" w:rsidRPr="00E72D98" w:rsidRDefault="00C04B93" w:rsidP="00FB27E7">
            <w:pPr>
              <w:rPr>
                <w:rFonts w:asciiTheme="minorHAnsi" w:eastAsia="Calibri" w:hAnsiTheme="minorHAnsi"/>
                <w:sz w:val="20"/>
              </w:rPr>
            </w:pPr>
            <w:r w:rsidRPr="00E72D98">
              <w:rPr>
                <w:rFonts w:asciiTheme="minorHAnsi" w:eastAsia="Calibri" w:hAnsiTheme="minorHAnsi"/>
                <w:sz w:val="20"/>
              </w:rPr>
              <w:t>________________________________</w:t>
            </w:r>
          </w:p>
        </w:tc>
        <w:tc>
          <w:tcPr>
            <w:tcW w:w="1868" w:type="dxa"/>
            <w:vMerge w:val="restart"/>
            <w:vAlign w:val="center"/>
          </w:tcPr>
          <w:p w14:paraId="6A126D1F" w14:textId="77777777" w:rsidR="00C04B93" w:rsidRPr="00E72D98" w:rsidRDefault="00C04B93" w:rsidP="00FB27E7">
            <w:pPr>
              <w:pStyle w:val="Ttulo1"/>
              <w:rPr>
                <w:rFonts w:asciiTheme="minorHAnsi" w:eastAsia="Calibri" w:hAnsiTheme="minorHAnsi"/>
                <w:sz w:val="20"/>
              </w:rPr>
            </w:pPr>
            <w:r w:rsidRPr="00E72D98">
              <w:rPr>
                <w:rFonts w:asciiTheme="minorHAnsi" w:eastAsia="Calibri" w:hAnsiTheme="minorHAnsi"/>
                <w:sz w:val="20"/>
              </w:rPr>
              <w:t>%</w:t>
            </w:r>
          </w:p>
        </w:tc>
        <w:tc>
          <w:tcPr>
            <w:tcW w:w="1470" w:type="dxa"/>
            <w:vMerge w:val="restart"/>
            <w:vAlign w:val="center"/>
          </w:tcPr>
          <w:p w14:paraId="5FF13DA3" w14:textId="77777777" w:rsidR="00C04B93" w:rsidRPr="00E72D98" w:rsidRDefault="00C04B93" w:rsidP="00FB27E7">
            <w:pPr>
              <w:pStyle w:val="Ttulo1"/>
              <w:rPr>
                <w:rFonts w:asciiTheme="minorHAnsi" w:eastAsia="Calibri" w:hAnsiTheme="minorHAnsi"/>
                <w:sz w:val="20"/>
              </w:rPr>
            </w:pPr>
            <w:r w:rsidRPr="00E72D98">
              <w:rPr>
                <w:rFonts w:asciiTheme="minorHAnsi" w:eastAsia="Calibri" w:hAnsiTheme="minorHAnsi"/>
                <w:sz w:val="20"/>
              </w:rPr>
              <w:t>%</w:t>
            </w:r>
          </w:p>
        </w:tc>
      </w:tr>
      <w:tr w:rsidR="00C04B93" w:rsidRPr="00AB6B54" w14:paraId="69122D12" w14:textId="77777777" w:rsidTr="00FB27E7">
        <w:trPr>
          <w:trHeight w:val="455"/>
          <w:jc w:val="center"/>
        </w:trPr>
        <w:tc>
          <w:tcPr>
            <w:tcW w:w="3660" w:type="dxa"/>
            <w:vMerge/>
            <w:tcBorders>
              <w:bottom w:val="single" w:sz="4" w:space="0" w:color="000000"/>
            </w:tcBorders>
            <w:vAlign w:val="center"/>
          </w:tcPr>
          <w:p w14:paraId="761EE682" w14:textId="77777777" w:rsidR="00C04B93" w:rsidRPr="00E72D98" w:rsidRDefault="00C04B93" w:rsidP="00FB27E7">
            <w:pPr>
              <w:rPr>
                <w:rFonts w:asciiTheme="minorHAnsi" w:eastAsia="Calibri" w:hAnsiTheme="minorHAnsi"/>
                <w:sz w:val="20"/>
              </w:rPr>
            </w:pPr>
          </w:p>
        </w:tc>
        <w:tc>
          <w:tcPr>
            <w:tcW w:w="1868" w:type="dxa"/>
            <w:vMerge/>
            <w:vAlign w:val="center"/>
          </w:tcPr>
          <w:p w14:paraId="1A7DF9B2" w14:textId="77777777" w:rsidR="00C04B93" w:rsidRPr="00E72D98" w:rsidRDefault="00C04B93" w:rsidP="00FB27E7">
            <w:pPr>
              <w:pStyle w:val="Ttulo1"/>
              <w:rPr>
                <w:rFonts w:asciiTheme="minorHAnsi" w:eastAsia="Calibri" w:hAnsiTheme="minorHAnsi"/>
                <w:sz w:val="20"/>
              </w:rPr>
            </w:pPr>
          </w:p>
        </w:tc>
        <w:tc>
          <w:tcPr>
            <w:tcW w:w="1470" w:type="dxa"/>
            <w:vMerge/>
            <w:vAlign w:val="center"/>
          </w:tcPr>
          <w:p w14:paraId="6DE0EDDD" w14:textId="77777777" w:rsidR="00C04B93" w:rsidRPr="00E72D98" w:rsidRDefault="00C04B93" w:rsidP="00FB27E7">
            <w:pPr>
              <w:pStyle w:val="Ttulo1"/>
              <w:rPr>
                <w:rFonts w:asciiTheme="minorHAnsi" w:eastAsia="Calibri" w:hAnsiTheme="minorHAnsi"/>
                <w:sz w:val="20"/>
              </w:rPr>
            </w:pPr>
          </w:p>
        </w:tc>
      </w:tr>
    </w:tbl>
    <w:p w14:paraId="7957FA0E" w14:textId="77777777" w:rsidR="00C04B93" w:rsidRPr="00E72D98" w:rsidRDefault="00C04B93" w:rsidP="00C04B93">
      <w:pPr>
        <w:ind w:left="284"/>
        <w:jc w:val="both"/>
        <w:rPr>
          <w:rFonts w:asciiTheme="minorHAnsi" w:eastAsia="Calibri" w:hAnsiTheme="minorHAnsi"/>
          <w:sz w:val="20"/>
          <w:vertAlign w:val="superscript"/>
        </w:rPr>
      </w:pPr>
    </w:p>
    <w:p w14:paraId="3F20E837" w14:textId="77777777" w:rsidR="00C04B93" w:rsidRPr="00AB6B54" w:rsidRDefault="00C04B93" w:rsidP="00C04B93">
      <w:pPr>
        <w:ind w:left="284"/>
        <w:jc w:val="both"/>
        <w:rPr>
          <w:rFonts w:asciiTheme="minorHAnsi" w:eastAsia="Calibri" w:hAnsiTheme="minorHAnsi" w:cstheme="minorHAnsi"/>
          <w:i/>
          <w:sz w:val="20"/>
          <w:szCs w:val="20"/>
        </w:rPr>
      </w:pPr>
      <w:r w:rsidRPr="00E72D98">
        <w:rPr>
          <w:rFonts w:asciiTheme="minorHAnsi" w:eastAsia="Calibri" w:hAnsiTheme="minorHAnsi"/>
          <w:sz w:val="20"/>
          <w:vertAlign w:val="superscript"/>
        </w:rPr>
        <w:t xml:space="preserve">1 </w:t>
      </w:r>
      <w:r w:rsidRPr="00AB6B54">
        <w:rPr>
          <w:rFonts w:asciiTheme="minorHAnsi" w:eastAsia="Calibri" w:hAnsiTheme="minorHAnsi" w:cstheme="minorHAnsi"/>
          <w:i/>
          <w:sz w:val="20"/>
          <w:szCs w:val="20"/>
        </w:rPr>
        <w:t xml:space="preserve">Indicar valor nominal solicitado, sin decimales, el cual deberá ser como </w:t>
      </w:r>
      <w:r w:rsidRPr="00AB6B54">
        <w:rPr>
          <w:rFonts w:asciiTheme="minorHAnsi" w:hAnsiTheme="minorHAnsi" w:cstheme="minorHAnsi"/>
          <w:i/>
          <w:color w:val="000000"/>
          <w:sz w:val="20"/>
          <w:szCs w:val="20"/>
        </w:rPr>
        <w:t xml:space="preserve">mínimo de </w:t>
      </w:r>
      <w:r w:rsidRPr="00AB6B54">
        <w:rPr>
          <w:rFonts w:asciiTheme="minorHAnsi" w:hAnsiTheme="minorHAnsi" w:cstheme="minorHAnsi"/>
          <w:i/>
          <w:iCs/>
          <w:color w:val="000000"/>
          <w:sz w:val="20"/>
          <w:szCs w:val="20"/>
        </w:rPr>
        <w:t>US$100</w:t>
      </w:r>
      <w:r w:rsidRPr="00AB6B54">
        <w:rPr>
          <w:rFonts w:asciiTheme="minorHAnsi" w:hAnsiTheme="minorHAnsi" w:cstheme="minorHAnsi"/>
          <w:i/>
          <w:color w:val="000000"/>
          <w:sz w:val="20"/>
          <w:szCs w:val="20"/>
        </w:rPr>
        <w:t xml:space="preserve"> (Dólares Estadounidenses </w:t>
      </w:r>
      <w:r w:rsidRPr="00AB6B54">
        <w:rPr>
          <w:rFonts w:asciiTheme="minorHAnsi" w:hAnsiTheme="minorHAnsi" w:cstheme="minorHAnsi"/>
          <w:i/>
          <w:iCs/>
          <w:color w:val="000000"/>
          <w:sz w:val="20"/>
          <w:szCs w:val="20"/>
        </w:rPr>
        <w:t>cien</w:t>
      </w:r>
      <w:r w:rsidRPr="00AB6B54">
        <w:rPr>
          <w:rFonts w:asciiTheme="minorHAnsi" w:hAnsiTheme="minorHAnsi" w:cstheme="minorHAnsi"/>
          <w:i/>
          <w:color w:val="000000"/>
          <w:sz w:val="20"/>
          <w:szCs w:val="20"/>
        </w:rPr>
        <w:t>) y múltiplos de US$1 (Dólares Estadounidenses uno) por encima de dicho monto</w:t>
      </w:r>
      <w:r w:rsidRPr="00584509">
        <w:rPr>
          <w:rFonts w:asciiTheme="minorHAnsi" w:eastAsia="Calibri" w:hAnsiTheme="minorHAnsi" w:cstheme="minorHAnsi"/>
          <w:i/>
          <w:sz w:val="20"/>
          <w:szCs w:val="20"/>
        </w:rPr>
        <w:t>.</w:t>
      </w:r>
      <w:r w:rsidRPr="00AB6B54">
        <w:rPr>
          <w:rFonts w:asciiTheme="minorHAnsi" w:eastAsia="Calibri" w:hAnsiTheme="minorHAnsi" w:cstheme="minorHAnsi"/>
          <w:i/>
          <w:sz w:val="20"/>
          <w:szCs w:val="20"/>
        </w:rPr>
        <w:t xml:space="preserve"> Ningún</w:t>
      </w:r>
      <w:r w:rsidRPr="00AB6B54">
        <w:rPr>
          <w:rFonts w:asciiTheme="minorHAnsi" w:eastAsia="Calibri" w:hAnsiTheme="minorHAnsi" w:cstheme="minorHAnsi"/>
          <w:i/>
          <w:iCs/>
          <w:sz w:val="20"/>
          <w:szCs w:val="20"/>
        </w:rPr>
        <w:t xml:space="preserve"> </w:t>
      </w:r>
      <w:r>
        <w:rPr>
          <w:rFonts w:asciiTheme="minorHAnsi" w:eastAsia="Calibri" w:hAnsiTheme="minorHAnsi" w:cstheme="minorHAnsi"/>
          <w:i/>
          <w:sz w:val="20"/>
          <w:szCs w:val="20"/>
        </w:rPr>
        <w:t xml:space="preserve">Inversor podrá presentar </w:t>
      </w:r>
      <w:r>
        <w:rPr>
          <w:rFonts w:asciiTheme="minorHAnsi" w:eastAsia="Calibri" w:hAnsiTheme="minorHAnsi" w:cstheme="minorHAnsi"/>
          <w:i/>
          <w:iCs/>
          <w:sz w:val="20"/>
          <w:szCs w:val="20"/>
        </w:rPr>
        <w:t>Órdenes</w:t>
      </w:r>
      <w:r>
        <w:rPr>
          <w:rFonts w:asciiTheme="minorHAnsi" w:eastAsia="Calibri" w:hAnsiTheme="minorHAnsi" w:cstheme="minorHAnsi"/>
          <w:i/>
          <w:sz w:val="20"/>
          <w:szCs w:val="20"/>
        </w:rPr>
        <w:t xml:space="preserve"> de </w:t>
      </w:r>
      <w:r>
        <w:rPr>
          <w:rFonts w:asciiTheme="minorHAnsi" w:eastAsia="Calibri" w:hAnsiTheme="minorHAnsi" w:cstheme="minorHAnsi"/>
          <w:i/>
          <w:iCs/>
          <w:sz w:val="20"/>
          <w:szCs w:val="20"/>
        </w:rPr>
        <w:t>Suscripción</w:t>
      </w:r>
      <w:r>
        <w:rPr>
          <w:rFonts w:asciiTheme="minorHAnsi" w:eastAsia="Calibri" w:hAnsiTheme="minorHAnsi" w:cstheme="minorHAnsi"/>
          <w:i/>
          <w:sz w:val="20"/>
          <w:szCs w:val="20"/>
        </w:rPr>
        <w:t xml:space="preserve"> cuyos montos superen el Monto Máximo, ya sea que se presenten en una o más </w:t>
      </w:r>
      <w:r>
        <w:rPr>
          <w:rFonts w:asciiTheme="minorHAnsi" w:eastAsia="Calibri" w:hAnsiTheme="minorHAnsi" w:cstheme="minorHAnsi"/>
          <w:i/>
          <w:iCs/>
          <w:sz w:val="20"/>
          <w:szCs w:val="20"/>
        </w:rPr>
        <w:t>Órdenes</w:t>
      </w:r>
      <w:r>
        <w:rPr>
          <w:rFonts w:asciiTheme="minorHAnsi" w:eastAsia="Calibri" w:hAnsiTheme="minorHAnsi" w:cstheme="minorHAnsi"/>
          <w:i/>
          <w:sz w:val="20"/>
          <w:szCs w:val="20"/>
        </w:rPr>
        <w:t xml:space="preserve"> de </w:t>
      </w:r>
      <w:r>
        <w:rPr>
          <w:rFonts w:asciiTheme="minorHAnsi" w:eastAsia="Calibri" w:hAnsiTheme="minorHAnsi" w:cstheme="minorHAnsi"/>
          <w:i/>
          <w:iCs/>
          <w:sz w:val="20"/>
          <w:szCs w:val="20"/>
        </w:rPr>
        <w:t>Suscripción</w:t>
      </w:r>
      <w:r>
        <w:rPr>
          <w:rFonts w:asciiTheme="minorHAnsi" w:eastAsia="Calibri" w:hAnsiTheme="minorHAnsi" w:cstheme="minorHAnsi"/>
          <w:i/>
          <w:sz w:val="20"/>
          <w:szCs w:val="20"/>
        </w:rPr>
        <w:t xml:space="preserve"> del mismo Inversor y fueran presentadas a través de uno o más de los Colocadores y/o agentes intermediarios habilitados.</w:t>
      </w:r>
    </w:p>
    <w:p w14:paraId="6C796D01" w14:textId="77777777" w:rsidR="00C04B93" w:rsidRPr="00AB6B54" w:rsidRDefault="00C04B93" w:rsidP="00C04B93">
      <w:pPr>
        <w:ind w:left="284"/>
        <w:jc w:val="both"/>
        <w:rPr>
          <w:rFonts w:asciiTheme="minorHAnsi" w:eastAsia="Calibri" w:hAnsiTheme="minorHAnsi" w:cstheme="minorHAnsi"/>
          <w:sz w:val="20"/>
          <w:szCs w:val="20"/>
        </w:rPr>
      </w:pPr>
    </w:p>
    <w:p w14:paraId="0957B634" w14:textId="77777777" w:rsidR="00C04B93" w:rsidRPr="00AB6B54" w:rsidRDefault="00C04B93" w:rsidP="00C04B93">
      <w:pPr>
        <w:ind w:left="284"/>
        <w:jc w:val="both"/>
        <w:rPr>
          <w:rFonts w:asciiTheme="minorHAnsi" w:eastAsia="Calibri" w:hAnsiTheme="minorHAnsi" w:cstheme="minorHAnsi"/>
          <w:i/>
          <w:sz w:val="20"/>
          <w:szCs w:val="20"/>
        </w:rPr>
      </w:pPr>
      <w:r w:rsidRPr="00AB6B54">
        <w:rPr>
          <w:rFonts w:asciiTheme="minorHAnsi" w:eastAsia="Calibri" w:hAnsiTheme="minorHAnsi" w:cstheme="minorHAnsi"/>
          <w:sz w:val="20"/>
          <w:szCs w:val="20"/>
          <w:vertAlign w:val="superscript"/>
        </w:rPr>
        <w:t>2</w:t>
      </w:r>
      <w:r w:rsidRPr="00AB6B54">
        <w:rPr>
          <w:rFonts w:asciiTheme="minorHAnsi" w:eastAsia="Calibri" w:hAnsiTheme="minorHAnsi" w:cstheme="minorHAnsi"/>
          <w:sz w:val="20"/>
          <w:szCs w:val="20"/>
        </w:rPr>
        <w:t xml:space="preserve"> </w:t>
      </w:r>
      <w:r>
        <w:rPr>
          <w:rFonts w:asciiTheme="minorHAnsi" w:hAnsiTheme="minorHAnsi" w:cstheme="minorHAnsi"/>
          <w:i/>
          <w:iCs/>
          <w:color w:val="000000"/>
          <w:sz w:val="20"/>
          <w:szCs w:val="20"/>
        </w:rPr>
        <w:t>Las Órdenes</w:t>
      </w:r>
      <w:r>
        <w:rPr>
          <w:rFonts w:asciiTheme="minorHAnsi" w:hAnsiTheme="minorHAnsi" w:cstheme="minorHAnsi"/>
          <w:i/>
          <w:color w:val="000000"/>
          <w:sz w:val="20"/>
          <w:szCs w:val="20"/>
        </w:rPr>
        <w:t xml:space="preserve"> de </w:t>
      </w:r>
      <w:r>
        <w:rPr>
          <w:rFonts w:asciiTheme="minorHAnsi" w:hAnsiTheme="minorHAnsi" w:cstheme="minorHAnsi"/>
          <w:i/>
          <w:iCs/>
          <w:color w:val="000000"/>
          <w:sz w:val="20"/>
          <w:szCs w:val="20"/>
        </w:rPr>
        <w:t>Suscripción correspondientes al Tramo Competitivo deberán</w:t>
      </w:r>
      <w:r>
        <w:rPr>
          <w:rFonts w:asciiTheme="minorHAnsi" w:hAnsiTheme="minorHAnsi" w:cstheme="minorHAnsi"/>
          <w:i/>
          <w:color w:val="000000"/>
          <w:sz w:val="20"/>
          <w:szCs w:val="20"/>
        </w:rPr>
        <w:t xml:space="preserve"> contener la Tasa Fija Solicitada para las Obligaciones Negociables, expresada como porcentaje nominal anual truncado a dos decimales</w:t>
      </w:r>
      <w:r w:rsidRPr="00AB6B54">
        <w:rPr>
          <w:rFonts w:asciiTheme="minorHAnsi" w:eastAsia="Calibri" w:hAnsiTheme="minorHAnsi" w:cstheme="minorHAnsi"/>
          <w:i/>
          <w:sz w:val="20"/>
          <w:szCs w:val="20"/>
        </w:rPr>
        <w:t>.</w:t>
      </w:r>
      <w:r>
        <w:rPr>
          <w:rFonts w:asciiTheme="minorHAnsi" w:eastAsia="Calibri" w:hAnsiTheme="minorHAnsi" w:cstheme="minorHAnsi"/>
          <w:i/>
          <w:iCs/>
          <w:sz w:val="20"/>
          <w:szCs w:val="20"/>
        </w:rPr>
        <w:t xml:space="preserve"> Las Órdenes de Suscripción correspondientes al Tramo No Competitivo, no deberán indicar Tasa Fija Solicitada.</w:t>
      </w:r>
    </w:p>
    <w:p w14:paraId="04F59FAB" w14:textId="77777777" w:rsidR="00C04B93" w:rsidRPr="00AB6B54" w:rsidRDefault="00C04B93" w:rsidP="00C04B93">
      <w:pPr>
        <w:jc w:val="both"/>
        <w:rPr>
          <w:rFonts w:asciiTheme="minorHAnsi" w:eastAsia="Calibri" w:hAnsiTheme="minorHAnsi" w:cstheme="minorHAnsi"/>
          <w:sz w:val="20"/>
          <w:szCs w:val="20"/>
        </w:rPr>
      </w:pPr>
    </w:p>
    <w:p w14:paraId="5DFB0E21" w14:textId="77777777" w:rsidR="00C04B93" w:rsidRPr="00AB6B54" w:rsidRDefault="00C04B93" w:rsidP="00C04B93">
      <w:pPr>
        <w:ind w:left="284"/>
        <w:jc w:val="both"/>
        <w:rPr>
          <w:rFonts w:asciiTheme="minorHAnsi" w:eastAsia="Calibri" w:hAnsiTheme="minorHAnsi" w:cstheme="minorHAnsi"/>
          <w:i/>
          <w:sz w:val="20"/>
          <w:szCs w:val="20"/>
        </w:rPr>
      </w:pPr>
      <w:r w:rsidRPr="00AB6B54">
        <w:rPr>
          <w:rFonts w:asciiTheme="minorHAnsi" w:eastAsia="Calibri" w:hAnsiTheme="minorHAnsi" w:cstheme="minorHAnsi"/>
          <w:sz w:val="20"/>
          <w:szCs w:val="20"/>
          <w:vertAlign w:val="superscript"/>
        </w:rPr>
        <w:t>3</w:t>
      </w:r>
      <w:r w:rsidRPr="00AB6B54">
        <w:rPr>
          <w:rFonts w:asciiTheme="minorHAnsi" w:eastAsia="Calibri" w:hAnsiTheme="minorHAnsi" w:cstheme="minorHAnsi"/>
          <w:sz w:val="20"/>
          <w:szCs w:val="20"/>
        </w:rPr>
        <w:t xml:space="preserve"> </w:t>
      </w:r>
      <w:r w:rsidRPr="00AB6B54">
        <w:rPr>
          <w:rFonts w:asciiTheme="minorHAnsi" w:eastAsia="Calibri" w:hAnsiTheme="minorHAnsi" w:cstheme="minorHAnsi"/>
          <w:i/>
          <w:sz w:val="20"/>
          <w:szCs w:val="20"/>
        </w:rPr>
        <w:t xml:space="preserve">El Inversor, en caso de que así lo desee, podrá limitar su adjudicación final en un porcentaje máximo del monto a emitir para las Obligaciones Negociables Clase </w:t>
      </w:r>
      <w:r w:rsidRPr="00AB6B54">
        <w:rPr>
          <w:rFonts w:asciiTheme="minorHAnsi" w:eastAsia="Calibri" w:hAnsiTheme="minorHAnsi" w:cstheme="minorHAnsi"/>
          <w:i/>
          <w:iCs/>
          <w:sz w:val="20"/>
          <w:szCs w:val="20"/>
        </w:rPr>
        <w:t>L</w:t>
      </w:r>
      <w:r w:rsidRPr="00AB6B54">
        <w:rPr>
          <w:rFonts w:asciiTheme="minorHAnsi" w:eastAsia="Calibri" w:hAnsiTheme="minorHAnsi" w:cstheme="minorHAnsi"/>
          <w:i/>
          <w:sz w:val="20"/>
          <w:szCs w:val="20"/>
        </w:rPr>
        <w:t>.</w:t>
      </w:r>
    </w:p>
    <w:p w14:paraId="0359EBDF" w14:textId="77777777" w:rsidR="00C04B93" w:rsidRPr="00AB6B54" w:rsidRDefault="00C04B93" w:rsidP="00C04B93">
      <w:pPr>
        <w:ind w:left="284"/>
        <w:jc w:val="both"/>
        <w:rPr>
          <w:rFonts w:asciiTheme="minorHAnsi" w:eastAsia="Calibri" w:hAnsiTheme="minorHAnsi" w:cstheme="minorHAnsi"/>
          <w:i/>
          <w:sz w:val="20"/>
          <w:szCs w:val="20"/>
        </w:rPr>
      </w:pPr>
    </w:p>
    <w:p w14:paraId="2BBA825C" w14:textId="77777777" w:rsidR="00C04B93" w:rsidRPr="00AB6B54" w:rsidRDefault="00C04B93" w:rsidP="00C04B93">
      <w:pPr>
        <w:pStyle w:val="Prrafodelista"/>
        <w:numPr>
          <w:ilvl w:val="0"/>
          <w:numId w:val="1"/>
        </w:numPr>
        <w:contextualSpacing w:val="0"/>
        <w:jc w:val="both"/>
        <w:rPr>
          <w:rFonts w:asciiTheme="minorHAnsi" w:eastAsia="Calibri" w:hAnsiTheme="minorHAnsi" w:cstheme="minorHAnsi"/>
          <w:b/>
          <w:sz w:val="20"/>
          <w:szCs w:val="20"/>
        </w:rPr>
      </w:pPr>
      <w:r w:rsidRPr="00AB6B54">
        <w:rPr>
          <w:rFonts w:asciiTheme="minorHAnsi" w:eastAsia="Calibri" w:hAnsiTheme="minorHAnsi" w:cstheme="minorHAnsi"/>
          <w:b/>
          <w:sz w:val="20"/>
          <w:szCs w:val="20"/>
        </w:rPr>
        <w:t>Adjudicación e Integración</w:t>
      </w:r>
    </w:p>
    <w:p w14:paraId="2D27CDAD" w14:textId="77777777" w:rsidR="00C04B93" w:rsidRPr="00AB6B54" w:rsidRDefault="00C04B93" w:rsidP="00C04B93">
      <w:pPr>
        <w:ind w:left="360"/>
        <w:jc w:val="both"/>
        <w:rPr>
          <w:rFonts w:asciiTheme="minorHAnsi" w:eastAsia="Calibri" w:hAnsiTheme="minorHAnsi" w:cstheme="minorHAnsi"/>
          <w:sz w:val="20"/>
          <w:szCs w:val="20"/>
        </w:rPr>
      </w:pPr>
    </w:p>
    <w:p w14:paraId="52D5FC04" w14:textId="77777777" w:rsidR="00336714" w:rsidRPr="00336714" w:rsidRDefault="00336714" w:rsidP="00336714">
      <w:pPr>
        <w:pStyle w:val="Prrafodelista"/>
        <w:widowControl w:val="0"/>
        <w:spacing w:line="276" w:lineRule="auto"/>
        <w:ind w:right="-14"/>
        <w:rPr>
          <w:rFonts w:ascii="Calibri" w:eastAsia="MS Mincho" w:hAnsi="Calibri" w:cs="Calibri"/>
          <w:sz w:val="20"/>
        </w:rPr>
      </w:pPr>
      <w:r w:rsidRPr="00336714">
        <w:rPr>
          <w:rFonts w:ascii="Calibri" w:eastAsia="MS Mincho" w:hAnsi="Calibri" w:cs="Calibri"/>
          <w:sz w:val="20"/>
        </w:rPr>
        <w:t>(____) (i) Liquidación por A3CLEAR</w:t>
      </w:r>
    </w:p>
    <w:p w14:paraId="76320968" w14:textId="77777777" w:rsidR="00336714" w:rsidRDefault="00336714" w:rsidP="00336714">
      <w:pPr>
        <w:pStyle w:val="Prrafodelista"/>
        <w:widowControl w:val="0"/>
        <w:spacing w:line="276" w:lineRule="auto"/>
        <w:ind w:right="-14"/>
        <w:rPr>
          <w:rFonts w:ascii="Calibri" w:eastAsia="MS Mincho" w:hAnsi="Calibri" w:cs="Calibri"/>
          <w:sz w:val="20"/>
        </w:rPr>
      </w:pPr>
      <w:r w:rsidRPr="00336714">
        <w:rPr>
          <w:rFonts w:ascii="Calibri" w:eastAsia="MS Mincho" w:hAnsi="Calibri" w:cs="Calibri"/>
          <w:sz w:val="20"/>
        </w:rPr>
        <w:t>(____) (</w:t>
      </w:r>
      <w:proofErr w:type="spellStart"/>
      <w:r w:rsidRPr="00336714">
        <w:rPr>
          <w:rFonts w:ascii="Calibri" w:eastAsia="MS Mincho" w:hAnsi="Calibri" w:cs="Calibri"/>
          <w:sz w:val="20"/>
        </w:rPr>
        <w:t>ii</w:t>
      </w:r>
      <w:proofErr w:type="spellEnd"/>
      <w:r w:rsidRPr="00336714">
        <w:rPr>
          <w:rFonts w:ascii="Calibri" w:eastAsia="MS Mincho" w:hAnsi="Calibri" w:cs="Calibri"/>
          <w:sz w:val="20"/>
        </w:rPr>
        <w:t>) Liquidación a través de Agente Colocador</w:t>
      </w:r>
    </w:p>
    <w:p w14:paraId="720AAADB" w14:textId="77777777" w:rsidR="00336714" w:rsidRPr="00336714" w:rsidRDefault="00336714" w:rsidP="00336714">
      <w:pPr>
        <w:pStyle w:val="Prrafodelista"/>
        <w:widowControl w:val="0"/>
        <w:spacing w:line="276" w:lineRule="auto"/>
        <w:ind w:right="-14"/>
        <w:rPr>
          <w:rFonts w:ascii="Calibri" w:eastAsia="MS Mincho" w:hAnsi="Calibri" w:cs="Calibri"/>
          <w:sz w:val="20"/>
        </w:rPr>
      </w:pPr>
    </w:p>
    <w:p w14:paraId="789FC075" w14:textId="77777777" w:rsidR="00336714" w:rsidRPr="00336714" w:rsidRDefault="00336714" w:rsidP="00336714">
      <w:pPr>
        <w:pStyle w:val="Prrafodelista"/>
        <w:widowControl w:val="0"/>
        <w:spacing w:line="276" w:lineRule="auto"/>
        <w:ind w:right="-14"/>
        <w:rPr>
          <w:rFonts w:ascii="Calibri" w:eastAsia="MS Mincho" w:hAnsi="Calibri" w:cs="Calibri"/>
          <w:sz w:val="20"/>
        </w:rPr>
      </w:pPr>
      <w:r w:rsidRPr="00336714">
        <w:rPr>
          <w:rFonts w:ascii="Calibri" w:eastAsia="MS Mincho" w:hAnsi="Calibri" w:cs="Calibri"/>
          <w:sz w:val="20"/>
        </w:rPr>
        <w:t xml:space="preserve">(________) En la cuenta monetaria en dólares </w:t>
      </w:r>
      <w:proofErr w:type="spellStart"/>
      <w:r w:rsidRPr="00336714">
        <w:rPr>
          <w:rFonts w:ascii="Calibri" w:eastAsia="MS Mincho" w:hAnsi="Calibri" w:cs="Calibri"/>
          <w:sz w:val="20"/>
        </w:rPr>
        <w:t>N°</w:t>
      </w:r>
      <w:proofErr w:type="spellEnd"/>
      <w:r w:rsidRPr="00336714">
        <w:rPr>
          <w:rFonts w:ascii="Calibri" w:eastAsia="MS Mincho" w:hAnsi="Calibri" w:cs="Calibri"/>
          <w:sz w:val="20"/>
        </w:rPr>
        <w:t xml:space="preserve"> ______________abierta en Banco de Servicios y Transacciones S.A.U. (la "Cuenta Monetaria"), el Oferente autoriza en forma irrevocable a Banco de Servicios y Transacciones S.A. a debitar de la Cuenta Monetaria en la Fecha de Emisión y Liquidación, el importe en dólares correspondiente al Precio de Emisión de los Títulos Valores. </w:t>
      </w:r>
    </w:p>
    <w:p w14:paraId="23A73514" w14:textId="77777777" w:rsidR="00336714" w:rsidRPr="00336714" w:rsidRDefault="00336714" w:rsidP="00336714">
      <w:pPr>
        <w:pStyle w:val="Prrafodelista"/>
        <w:widowControl w:val="0"/>
        <w:spacing w:line="276" w:lineRule="auto"/>
        <w:ind w:right="-14"/>
        <w:rPr>
          <w:rFonts w:ascii="Calibri" w:eastAsia="MS Mincho" w:hAnsi="Calibri" w:cs="Calibri"/>
          <w:sz w:val="20"/>
        </w:rPr>
      </w:pPr>
    </w:p>
    <w:p w14:paraId="60ABFB62" w14:textId="77777777" w:rsidR="00336714" w:rsidRPr="00336714" w:rsidRDefault="00336714" w:rsidP="00336714">
      <w:pPr>
        <w:pStyle w:val="Prrafodelista"/>
        <w:widowControl w:val="0"/>
        <w:spacing w:line="276" w:lineRule="auto"/>
        <w:ind w:right="-14"/>
        <w:rPr>
          <w:rFonts w:ascii="Calibri" w:hAnsi="Calibri" w:cs="Calibri"/>
          <w:sz w:val="20"/>
        </w:rPr>
      </w:pPr>
      <w:r w:rsidRPr="00336714">
        <w:rPr>
          <w:rFonts w:ascii="Calibri" w:eastAsia="MS Mincho" w:hAnsi="Calibri" w:cs="Calibri"/>
          <w:sz w:val="20"/>
        </w:rPr>
        <w:t xml:space="preserve">(________) En la cuenta monetaria en dólares </w:t>
      </w:r>
      <w:proofErr w:type="spellStart"/>
      <w:r w:rsidRPr="00336714">
        <w:rPr>
          <w:rFonts w:ascii="Calibri" w:eastAsia="MS Mincho" w:hAnsi="Calibri" w:cs="Calibri"/>
          <w:sz w:val="20"/>
        </w:rPr>
        <w:t>N°</w:t>
      </w:r>
      <w:proofErr w:type="spellEnd"/>
      <w:r w:rsidRPr="00336714">
        <w:rPr>
          <w:rFonts w:ascii="Calibri" w:eastAsia="MS Mincho" w:hAnsi="Calibri" w:cs="Calibri"/>
          <w:sz w:val="20"/>
        </w:rPr>
        <w:t xml:space="preserve"> 80338 de Banco de Servicios y Transacciones S.A. abierta en el Banco Central de la República Argentina, a más tardar a las 14:00 en la Fecha </w:t>
      </w:r>
      <w:r w:rsidRPr="00336714">
        <w:rPr>
          <w:rFonts w:ascii="Calibri" w:eastAsia="MS Mincho" w:hAnsi="Calibri" w:cs="Calibri"/>
          <w:sz w:val="20"/>
        </w:rPr>
        <w:lastRenderedPageBreak/>
        <w:t>de Emisión y Liquidación, el importe en pesos correspondiente al Precio de Emisión de los Títulos Valores.</w:t>
      </w:r>
    </w:p>
    <w:p w14:paraId="40D7C481" w14:textId="77777777" w:rsidR="00336714" w:rsidRPr="00336714" w:rsidRDefault="00336714" w:rsidP="00336714">
      <w:pPr>
        <w:pStyle w:val="Prrafodelista"/>
        <w:widowControl w:val="0"/>
        <w:spacing w:line="276" w:lineRule="auto"/>
        <w:ind w:right="-14"/>
        <w:rPr>
          <w:rFonts w:ascii="Calibri" w:hAnsi="Calibri" w:cs="Calibri"/>
          <w:sz w:val="20"/>
        </w:rPr>
      </w:pPr>
    </w:p>
    <w:p w14:paraId="0C8384F2" w14:textId="77777777" w:rsidR="00C04B93" w:rsidRPr="00E72D98" w:rsidRDefault="00C04B93" w:rsidP="00C04B93">
      <w:pPr>
        <w:numPr>
          <w:ilvl w:val="0"/>
          <w:numId w:val="1"/>
        </w:numPr>
        <w:pBdr>
          <w:top w:val="nil"/>
          <w:left w:val="nil"/>
          <w:bottom w:val="nil"/>
          <w:right w:val="nil"/>
          <w:between w:val="nil"/>
        </w:pBdr>
        <w:ind w:left="284"/>
        <w:jc w:val="both"/>
        <w:rPr>
          <w:rFonts w:asciiTheme="minorHAnsi" w:eastAsia="Calibri" w:hAnsiTheme="minorHAnsi"/>
          <w:color w:val="000000"/>
          <w:sz w:val="20"/>
        </w:rPr>
      </w:pPr>
      <w:r w:rsidRPr="00E72D98">
        <w:rPr>
          <w:rFonts w:asciiTheme="minorHAnsi" w:eastAsia="Calibri" w:hAnsiTheme="minorHAnsi"/>
          <w:b/>
          <w:color w:val="000000"/>
          <w:sz w:val="20"/>
        </w:rPr>
        <w:t xml:space="preserve">Declaración Jurada sobre el Origen de Fondos: </w:t>
      </w:r>
      <w:r w:rsidRPr="00E72D98">
        <w:rPr>
          <w:rFonts w:asciiTheme="minorHAnsi" w:eastAsia="Calibri" w:hAnsiTheme="minorHAnsi"/>
          <w:color w:val="000000"/>
          <w:sz w:val="20"/>
        </w:rPr>
        <w:t>En cumplimiento de lo dispuesto por la Unidad de Información Financiera (“</w:t>
      </w:r>
      <w:r w:rsidRPr="00E72D98">
        <w:rPr>
          <w:rFonts w:asciiTheme="minorHAnsi" w:eastAsia="Calibri" w:hAnsiTheme="minorHAnsi"/>
          <w:b/>
          <w:color w:val="000000"/>
          <w:sz w:val="20"/>
          <w:u w:val="single"/>
        </w:rPr>
        <w:t>UIF</w:t>
      </w:r>
      <w:r w:rsidRPr="00E72D98">
        <w:rPr>
          <w:rFonts w:asciiTheme="minorHAnsi" w:eastAsia="Calibri" w:hAnsiTheme="minorHAnsi"/>
          <w:color w:val="000000"/>
          <w:sz w:val="20"/>
        </w:rPr>
        <w:t xml:space="preserve">”), por la presente el Inversor declara bajo juramento que los fondos y valores que corresponden a la suscripción de las Obligaciones Negociables a los que se refiere la presente son provenientes de actividades lícitas relacionadas con mi actividad de </w:t>
      </w:r>
      <w:r w:rsidRPr="00E72D98">
        <w:rPr>
          <w:rFonts w:asciiTheme="minorHAnsi" w:eastAsia="Calibri" w:hAnsiTheme="minorHAnsi"/>
          <w:color w:val="000000"/>
          <w:sz w:val="20"/>
          <w:highlight w:val="yellow"/>
        </w:rPr>
        <w:t>[_]</w:t>
      </w:r>
      <w:r w:rsidRPr="00E72D98">
        <w:rPr>
          <w:rFonts w:asciiTheme="minorHAnsi" w:eastAsia="Calibri" w:hAnsiTheme="minorHAnsi"/>
          <w:color w:val="000000"/>
          <w:sz w:val="20"/>
        </w:rPr>
        <w:t xml:space="preserve">. También en carácter de declaración jurada el Inversor manifiesta que las informaciones consignadas en el presente y para los registros de esa entidad, son exactas y verdaderas, y que tiene conocimiento de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25.246,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26.733 y sus modificatorias (incluyendo, sin limitación,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26.087,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26.119,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26.268,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26.683,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26.831,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26.860,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27.260,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27.304,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27.440,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27.446,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27.508,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27.613,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27.701 y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27.739), </w:t>
      </w:r>
      <w:r w:rsidRPr="00AB6B54">
        <w:rPr>
          <w:rFonts w:asciiTheme="minorHAnsi" w:eastAsia="Calibri" w:hAnsiTheme="minorHAnsi" w:cstheme="minorHAnsi"/>
          <w:color w:val="000000"/>
          <w:sz w:val="20"/>
          <w:szCs w:val="20"/>
        </w:rPr>
        <w:t>y de las</w:t>
      </w:r>
      <w:r w:rsidRPr="00E72D98">
        <w:rPr>
          <w:rFonts w:asciiTheme="minorHAnsi" w:eastAsia="Calibri" w:hAnsiTheme="minorHAnsi"/>
          <w:color w:val="000000"/>
          <w:sz w:val="20"/>
        </w:rPr>
        <w:t xml:space="preserve"> disposiciones, resoluciones o requerimientos de la UIF, de la CNV o del Banco Central de la República Argentina (el “</w:t>
      </w:r>
      <w:r w:rsidRPr="00E72D98">
        <w:rPr>
          <w:rFonts w:asciiTheme="minorHAnsi" w:eastAsia="Calibri" w:hAnsiTheme="minorHAnsi"/>
          <w:b/>
          <w:color w:val="000000"/>
          <w:sz w:val="20"/>
          <w:u w:val="single"/>
        </w:rPr>
        <w:t>BCRA</w:t>
      </w:r>
      <w:r w:rsidRPr="00E72D98">
        <w:rPr>
          <w:rFonts w:asciiTheme="minorHAnsi" w:eastAsia="Calibri" w:hAnsiTheme="minorHAnsi"/>
          <w:color w:val="000000"/>
          <w:sz w:val="20"/>
        </w:rPr>
        <w:t>”) (el “</w:t>
      </w:r>
      <w:r w:rsidRPr="00E72D98">
        <w:rPr>
          <w:rFonts w:asciiTheme="minorHAnsi" w:eastAsia="Calibri" w:hAnsiTheme="minorHAnsi"/>
          <w:b/>
          <w:color w:val="000000"/>
          <w:sz w:val="20"/>
          <w:u w:val="single"/>
        </w:rPr>
        <w:t>Régimen de Prevención del Lavado de Activos</w:t>
      </w:r>
      <w:r w:rsidRPr="00AB6B54">
        <w:rPr>
          <w:rFonts w:asciiTheme="minorHAnsi" w:eastAsia="Calibri" w:hAnsiTheme="minorHAnsi" w:cstheme="minorHAnsi"/>
          <w:b/>
          <w:bCs/>
          <w:color w:val="000000"/>
          <w:sz w:val="20"/>
          <w:szCs w:val="20"/>
          <w:u w:val="single"/>
        </w:rPr>
        <w:t>,</w:t>
      </w:r>
      <w:r w:rsidRPr="00E72D98">
        <w:rPr>
          <w:rFonts w:asciiTheme="minorHAnsi" w:eastAsia="Calibri" w:hAnsiTheme="minorHAnsi"/>
          <w:b/>
          <w:color w:val="000000"/>
          <w:sz w:val="20"/>
          <w:u w:val="single"/>
        </w:rPr>
        <w:t xml:space="preserve"> Financiación del Terrorismo</w:t>
      </w:r>
      <w:r>
        <w:rPr>
          <w:rFonts w:asciiTheme="minorHAnsi" w:eastAsia="Calibri" w:hAnsiTheme="minorHAnsi" w:cstheme="minorHAnsi"/>
          <w:b/>
          <w:color w:val="000000"/>
          <w:sz w:val="20"/>
          <w:szCs w:val="20"/>
          <w:u w:val="single"/>
        </w:rPr>
        <w:t xml:space="preserve"> y </w:t>
      </w:r>
      <w:r>
        <w:rPr>
          <w:rFonts w:asciiTheme="minorHAnsi" w:eastAsia="Calibri" w:hAnsiTheme="minorHAnsi" w:cstheme="minorHAnsi"/>
          <w:b/>
          <w:bCs/>
          <w:color w:val="000000"/>
          <w:sz w:val="20"/>
          <w:szCs w:val="20"/>
          <w:u w:val="single"/>
        </w:rPr>
        <w:t>Financiamiento</w:t>
      </w:r>
      <w:r>
        <w:rPr>
          <w:rFonts w:asciiTheme="minorHAnsi" w:eastAsia="Calibri" w:hAnsiTheme="minorHAnsi" w:cstheme="minorHAnsi"/>
          <w:b/>
          <w:color w:val="000000"/>
          <w:sz w:val="20"/>
          <w:szCs w:val="20"/>
          <w:u w:val="single"/>
        </w:rPr>
        <w:t xml:space="preserve"> </w:t>
      </w:r>
      <w:r w:rsidRPr="00AB6B54">
        <w:rPr>
          <w:rFonts w:asciiTheme="minorHAnsi" w:eastAsia="Calibri" w:hAnsiTheme="minorHAnsi" w:cstheme="minorHAnsi"/>
          <w:b/>
          <w:bCs/>
          <w:color w:val="000000"/>
          <w:sz w:val="20"/>
          <w:szCs w:val="20"/>
          <w:u w:val="single"/>
        </w:rPr>
        <w:t>de la Proliferación de Armas de Destrucción Masiva</w:t>
      </w:r>
      <w:r w:rsidRPr="00E72D98">
        <w:rPr>
          <w:rFonts w:asciiTheme="minorHAnsi" w:eastAsia="Calibri" w:hAnsiTheme="minorHAnsi"/>
          <w:color w:val="000000"/>
          <w:sz w:val="20"/>
        </w:rPr>
        <w:t>”). Adicionalmente, el Inversor toma conocimiento y acepta de conformidad que, ante la eventualidad de que un organismo de control competente así lo requiera (CNV, BCRA</w:t>
      </w:r>
      <w:r w:rsidRPr="00AB6B54">
        <w:rPr>
          <w:rFonts w:asciiTheme="minorHAnsi" w:eastAsia="Calibri" w:hAnsiTheme="minorHAnsi" w:cstheme="minorHAnsi"/>
          <w:color w:val="000000"/>
          <w:sz w:val="20"/>
          <w:szCs w:val="20"/>
        </w:rPr>
        <w:t>, UIF y/o la Agencia de Recaudación y Control Aduanero (“</w:t>
      </w:r>
      <w:r w:rsidRPr="00AB6B54">
        <w:rPr>
          <w:rFonts w:asciiTheme="minorHAnsi" w:eastAsia="Calibri" w:hAnsiTheme="minorHAnsi" w:cstheme="minorHAnsi"/>
          <w:b/>
          <w:bCs/>
          <w:color w:val="000000"/>
          <w:sz w:val="20"/>
          <w:szCs w:val="20"/>
          <w:u w:val="single"/>
        </w:rPr>
        <w:t>ARCA</w:t>
      </w:r>
      <w:r>
        <w:rPr>
          <w:rFonts w:asciiTheme="minorHAnsi" w:eastAsia="Calibri" w:hAnsiTheme="minorHAnsi" w:cstheme="minorHAnsi"/>
          <w:color w:val="000000"/>
          <w:sz w:val="20"/>
          <w:szCs w:val="20"/>
        </w:rPr>
        <w:t>”),</w:t>
      </w:r>
      <w:r w:rsidRPr="00E72D98">
        <w:rPr>
          <w:rFonts w:asciiTheme="minorHAnsi" w:eastAsia="Calibri" w:hAnsiTheme="minorHAnsi"/>
          <w:color w:val="000000"/>
          <w:sz w:val="20"/>
        </w:rPr>
        <w:t xml:space="preserve"> el Colocador estará obligado a entregar a tal organismo copia de la información y documentación que forma parte del legajo del Inversor, motivo por el cual el Inversor renuncia a efectuar cualquier reclamo de cualquier naturaleza con causa en, o derivada de, la información y/o documentación entregada en tales circunstancias.</w:t>
      </w:r>
    </w:p>
    <w:p w14:paraId="2C8FF5E2" w14:textId="77777777" w:rsidR="00C04B93" w:rsidRPr="00E72D98" w:rsidRDefault="00C04B93" w:rsidP="00C04B93">
      <w:pPr>
        <w:jc w:val="both"/>
        <w:rPr>
          <w:rFonts w:asciiTheme="minorHAnsi" w:eastAsia="Calibri" w:hAnsiTheme="minorHAnsi"/>
          <w:sz w:val="20"/>
        </w:rPr>
      </w:pPr>
    </w:p>
    <w:p w14:paraId="29D89AE5" w14:textId="77777777" w:rsidR="00C04B93" w:rsidRPr="00E72D98" w:rsidRDefault="00C04B93" w:rsidP="00C04B93">
      <w:pPr>
        <w:numPr>
          <w:ilvl w:val="0"/>
          <w:numId w:val="1"/>
        </w:numPr>
        <w:pBdr>
          <w:top w:val="nil"/>
          <w:left w:val="nil"/>
          <w:bottom w:val="nil"/>
          <w:right w:val="nil"/>
          <w:between w:val="nil"/>
        </w:pBdr>
        <w:ind w:left="284" w:hanging="284"/>
        <w:jc w:val="both"/>
        <w:rPr>
          <w:rFonts w:asciiTheme="minorHAnsi" w:eastAsia="Calibri" w:hAnsiTheme="minorHAnsi"/>
          <w:b/>
          <w:color w:val="000000"/>
          <w:sz w:val="20"/>
        </w:rPr>
      </w:pPr>
      <w:r w:rsidRPr="00E72D98">
        <w:rPr>
          <w:rFonts w:asciiTheme="minorHAnsi" w:eastAsia="Calibri" w:hAnsiTheme="minorHAnsi"/>
          <w:b/>
          <w:color w:val="000000"/>
          <w:sz w:val="20"/>
        </w:rPr>
        <w:t>Declaración Jurada FATCA: Por la presente declaro bajo juramento que se encuentra vigente en todos sus términos la declaración jurada FATCA oportunamente presentada ante esta entidad.</w:t>
      </w:r>
    </w:p>
    <w:p w14:paraId="75BB1B14" w14:textId="77777777" w:rsidR="00C04B93" w:rsidRPr="00E72D98" w:rsidRDefault="00C04B93" w:rsidP="00C04B93">
      <w:pPr>
        <w:pBdr>
          <w:top w:val="nil"/>
          <w:left w:val="nil"/>
          <w:bottom w:val="nil"/>
          <w:right w:val="nil"/>
          <w:between w:val="nil"/>
        </w:pBdr>
        <w:ind w:left="708"/>
        <w:rPr>
          <w:rFonts w:asciiTheme="minorHAnsi" w:eastAsia="Calibri" w:hAnsiTheme="minorHAnsi"/>
          <w:b/>
          <w:color w:val="000000"/>
          <w:sz w:val="20"/>
        </w:rPr>
      </w:pPr>
    </w:p>
    <w:p w14:paraId="260AD0F1" w14:textId="77777777" w:rsidR="00C04B93" w:rsidRPr="00E72D98" w:rsidRDefault="00C04B93" w:rsidP="00C04B93">
      <w:pPr>
        <w:numPr>
          <w:ilvl w:val="0"/>
          <w:numId w:val="1"/>
        </w:numPr>
        <w:pBdr>
          <w:top w:val="nil"/>
          <w:left w:val="nil"/>
          <w:bottom w:val="nil"/>
          <w:right w:val="nil"/>
          <w:between w:val="nil"/>
        </w:pBdr>
        <w:ind w:left="284" w:hanging="284"/>
        <w:jc w:val="both"/>
        <w:rPr>
          <w:rFonts w:asciiTheme="minorHAnsi" w:eastAsia="Calibri" w:hAnsiTheme="minorHAnsi"/>
          <w:b/>
          <w:color w:val="000000"/>
          <w:sz w:val="20"/>
        </w:rPr>
      </w:pPr>
      <w:r w:rsidRPr="00E72D98">
        <w:rPr>
          <w:rFonts w:asciiTheme="minorHAnsi" w:eastAsia="Calibri" w:hAnsiTheme="minorHAnsi"/>
          <w:b/>
          <w:color w:val="000000"/>
          <w:sz w:val="20"/>
        </w:rPr>
        <w:t>Persona Expuesta Políticamente:</w:t>
      </w:r>
      <w:r w:rsidRPr="00E72D98">
        <w:rPr>
          <w:rFonts w:asciiTheme="minorHAnsi" w:eastAsia="Calibri" w:hAnsiTheme="minorHAnsi"/>
          <w:color w:val="000000"/>
          <w:sz w:val="20"/>
        </w:rPr>
        <w:t xml:space="preserve"> En cumplimiento de lo dispuesto por la Resolución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w:t>
      </w:r>
      <w:r w:rsidRPr="00F7672A">
        <w:rPr>
          <w:rFonts w:asciiTheme="minorHAnsi" w:eastAsia="Calibri" w:hAnsiTheme="minorHAnsi"/>
          <w:color w:val="000000"/>
          <w:sz w:val="20"/>
        </w:rPr>
        <w:t>192/2024</w:t>
      </w:r>
      <w:r w:rsidRPr="00E72D98">
        <w:rPr>
          <w:rFonts w:asciiTheme="minorHAnsi" w:eastAsia="Calibri" w:hAnsiTheme="minorHAnsi"/>
          <w:color w:val="000000"/>
          <w:sz w:val="20"/>
        </w:rPr>
        <w:t xml:space="preserve"> y sus modificatorias y complementarias de la UIF (según fuera modificada y/o complementada), el Inversor manifiesta con carácter de declaración jurada que </w:t>
      </w:r>
      <w:r w:rsidRPr="00E72D98">
        <w:rPr>
          <w:rFonts w:asciiTheme="minorHAnsi" w:eastAsia="Calibri" w:hAnsiTheme="minorHAnsi"/>
          <w:b/>
          <w:color w:val="000000"/>
          <w:sz w:val="20"/>
        </w:rPr>
        <w:t xml:space="preserve">[SÍ] [NO] </w:t>
      </w:r>
      <w:r w:rsidRPr="00E72D98">
        <w:rPr>
          <w:rFonts w:asciiTheme="minorHAnsi" w:eastAsia="Calibri" w:hAnsiTheme="minorHAnsi"/>
          <w:color w:val="000000"/>
          <w:sz w:val="20"/>
        </w:rPr>
        <w:t>es una Persona Expuesta Políticamente, en los términos de dicha resolución y sus modificatorias.</w:t>
      </w:r>
    </w:p>
    <w:p w14:paraId="07FE7F00" w14:textId="77777777" w:rsidR="00C04B93" w:rsidRPr="00E72D98" w:rsidRDefault="00C04B93" w:rsidP="00C04B93">
      <w:pPr>
        <w:pStyle w:val="Prrafodelista"/>
        <w:rPr>
          <w:rFonts w:asciiTheme="minorHAnsi" w:eastAsia="Calibri" w:hAnsiTheme="minorHAnsi"/>
          <w:b/>
          <w:color w:val="000000"/>
          <w:sz w:val="20"/>
        </w:rPr>
      </w:pPr>
    </w:p>
    <w:p w14:paraId="495AE77C" w14:textId="77777777" w:rsidR="00C04B93" w:rsidRPr="00E72D98" w:rsidRDefault="00C04B93" w:rsidP="00C04B93">
      <w:pPr>
        <w:numPr>
          <w:ilvl w:val="0"/>
          <w:numId w:val="1"/>
        </w:numPr>
        <w:pBdr>
          <w:top w:val="nil"/>
          <w:left w:val="nil"/>
          <w:bottom w:val="nil"/>
          <w:right w:val="nil"/>
          <w:between w:val="nil"/>
        </w:pBdr>
        <w:ind w:left="284" w:hanging="284"/>
        <w:jc w:val="both"/>
        <w:rPr>
          <w:rFonts w:asciiTheme="minorHAnsi" w:eastAsia="Calibri" w:hAnsiTheme="minorHAnsi"/>
          <w:color w:val="000000"/>
          <w:sz w:val="20"/>
        </w:rPr>
      </w:pPr>
      <w:r w:rsidRPr="00E72D98">
        <w:rPr>
          <w:rFonts w:asciiTheme="minorHAnsi" w:eastAsia="Calibri" w:hAnsiTheme="minorHAnsi"/>
          <w:color w:val="000000"/>
          <w:sz w:val="20"/>
        </w:rPr>
        <w:t xml:space="preserve">El Inversor declara conocer y aceptar que </w:t>
      </w:r>
      <w:r>
        <w:rPr>
          <w:rFonts w:asciiTheme="minorHAnsi" w:eastAsia="Calibri" w:hAnsiTheme="minorHAnsi" w:cstheme="minorHAnsi"/>
          <w:color w:val="000000"/>
          <w:sz w:val="20"/>
          <w:szCs w:val="20"/>
        </w:rPr>
        <w:t>la Emisora</w:t>
      </w:r>
      <w:r w:rsidRPr="00E72D98">
        <w:rPr>
          <w:rFonts w:asciiTheme="minorHAnsi" w:eastAsia="Calibri" w:hAnsiTheme="minorHAnsi"/>
          <w:color w:val="000000"/>
          <w:sz w:val="20"/>
        </w:rPr>
        <w:t xml:space="preserve"> podrá, previa consulta a los</w:t>
      </w:r>
      <w:r>
        <w:rPr>
          <w:rFonts w:asciiTheme="minorHAnsi" w:eastAsia="Calibri" w:hAnsiTheme="minorHAnsi" w:cstheme="minorHAnsi"/>
          <w:color w:val="000000"/>
          <w:sz w:val="20"/>
          <w:szCs w:val="20"/>
        </w:rPr>
        <w:t xml:space="preserve"> Agentes</w:t>
      </w:r>
      <w:r w:rsidRPr="00E72D98">
        <w:rPr>
          <w:rFonts w:asciiTheme="minorHAnsi" w:eastAsia="Calibri" w:hAnsiTheme="minorHAnsi"/>
          <w:color w:val="000000"/>
          <w:sz w:val="20"/>
        </w:rPr>
        <w:t xml:space="preserve"> Colocadores, hasta la Fecha de Emisión y Liquidación, dejar sin efecto la colocación y adjudicación de las Obligaciones Negociables, en caso de que hayan sucedido cambios en la normativa cambiaria, impositiva y/o de cualquier otra índole que tornen más gravosa la emisión para la Emisora, quedando pues sin efecto alguno la totalidad de las </w:t>
      </w:r>
      <w:r>
        <w:rPr>
          <w:rFonts w:asciiTheme="minorHAnsi" w:eastAsia="Calibri" w:hAnsiTheme="minorHAnsi" w:cstheme="minorHAnsi"/>
          <w:color w:val="000000"/>
          <w:sz w:val="20"/>
          <w:szCs w:val="20"/>
        </w:rPr>
        <w:t>Órdenes</w:t>
      </w:r>
      <w:r w:rsidRPr="00E72D98">
        <w:rPr>
          <w:rFonts w:asciiTheme="minorHAnsi" w:eastAsia="Calibri" w:hAnsiTheme="minorHAnsi"/>
          <w:color w:val="000000"/>
          <w:sz w:val="20"/>
        </w:rPr>
        <w:t xml:space="preserve"> de </w:t>
      </w:r>
      <w:r>
        <w:rPr>
          <w:rFonts w:asciiTheme="minorHAnsi" w:eastAsia="Calibri" w:hAnsiTheme="minorHAnsi" w:cstheme="minorHAnsi"/>
          <w:color w:val="000000"/>
          <w:sz w:val="20"/>
          <w:szCs w:val="20"/>
        </w:rPr>
        <w:t>Suscripción</w:t>
      </w:r>
      <w:r w:rsidRPr="00E72D98">
        <w:rPr>
          <w:rFonts w:asciiTheme="minorHAnsi" w:eastAsia="Calibri" w:hAnsiTheme="minorHAnsi"/>
          <w:color w:val="000000"/>
          <w:sz w:val="20"/>
        </w:rPr>
        <w:t xml:space="preserve">. Esta circunstancia no otorgará a los Inversores derecho a compensación ni indemnización alguna ni generará responsabilidad de ningún tipo para la Emisora, ni para los </w:t>
      </w:r>
      <w:r>
        <w:rPr>
          <w:rFonts w:asciiTheme="minorHAnsi" w:eastAsia="Calibri" w:hAnsiTheme="minorHAnsi" w:cstheme="minorHAnsi"/>
          <w:color w:val="000000"/>
          <w:sz w:val="20"/>
          <w:szCs w:val="20"/>
        </w:rPr>
        <w:t xml:space="preserve">Agentes </w:t>
      </w:r>
      <w:r w:rsidRPr="00E72D98">
        <w:rPr>
          <w:rFonts w:asciiTheme="minorHAnsi" w:eastAsia="Calibri" w:hAnsiTheme="minorHAnsi"/>
          <w:color w:val="000000"/>
          <w:sz w:val="20"/>
        </w:rPr>
        <w:t>Colocadores.</w:t>
      </w:r>
    </w:p>
    <w:p w14:paraId="3F6F5AA3" w14:textId="77777777" w:rsidR="00C04B93" w:rsidRPr="00E72D98" w:rsidRDefault="00C04B93" w:rsidP="00C04B93">
      <w:pPr>
        <w:pStyle w:val="Prrafodelista"/>
        <w:rPr>
          <w:rFonts w:asciiTheme="minorHAnsi" w:eastAsia="Calibri" w:hAnsiTheme="minorHAnsi"/>
          <w:color w:val="000000"/>
          <w:sz w:val="20"/>
        </w:rPr>
      </w:pPr>
    </w:p>
    <w:p w14:paraId="2DF4E9D8" w14:textId="77777777" w:rsidR="00C04B93" w:rsidRPr="00E72D98" w:rsidRDefault="00C04B93" w:rsidP="00C04B93">
      <w:pPr>
        <w:numPr>
          <w:ilvl w:val="0"/>
          <w:numId w:val="1"/>
        </w:numPr>
        <w:pBdr>
          <w:top w:val="nil"/>
          <w:left w:val="nil"/>
          <w:bottom w:val="nil"/>
          <w:right w:val="nil"/>
          <w:between w:val="nil"/>
        </w:pBdr>
        <w:ind w:left="284" w:hanging="284"/>
        <w:jc w:val="both"/>
        <w:rPr>
          <w:rFonts w:asciiTheme="minorHAnsi" w:eastAsia="Calibri" w:hAnsiTheme="minorHAnsi"/>
          <w:color w:val="000000"/>
          <w:sz w:val="20"/>
        </w:rPr>
      </w:pPr>
      <w:r w:rsidRPr="00E72D98">
        <w:rPr>
          <w:rFonts w:asciiTheme="minorHAnsi" w:eastAsia="Calibri" w:hAnsiTheme="minorHAnsi"/>
          <w:b/>
          <w:color w:val="000000"/>
          <w:sz w:val="20"/>
        </w:rPr>
        <w:t>Cláusula Arbitral:</w:t>
      </w:r>
      <w:r w:rsidRPr="00E72D98">
        <w:rPr>
          <w:rFonts w:asciiTheme="minorHAnsi" w:eastAsia="Calibri" w:hAnsiTheme="minorHAnsi"/>
          <w:color w:val="000000"/>
          <w:sz w:val="20"/>
        </w:rPr>
        <w:t xml:space="preserve"> Todo conflicto relativo a la presente </w:t>
      </w:r>
      <w:r>
        <w:rPr>
          <w:rFonts w:asciiTheme="minorHAnsi" w:eastAsia="Calibri" w:hAnsiTheme="minorHAnsi" w:cstheme="minorHAnsi"/>
          <w:color w:val="000000"/>
          <w:sz w:val="20"/>
          <w:szCs w:val="20"/>
        </w:rPr>
        <w:t>Orden</w:t>
      </w:r>
      <w:r w:rsidRPr="00E72D98">
        <w:rPr>
          <w:rFonts w:asciiTheme="minorHAnsi" w:eastAsia="Calibri" w:hAnsiTheme="minorHAnsi"/>
          <w:color w:val="000000"/>
          <w:sz w:val="20"/>
        </w:rPr>
        <w:t xml:space="preserve"> de </w:t>
      </w:r>
      <w:r>
        <w:rPr>
          <w:rFonts w:asciiTheme="minorHAnsi" w:eastAsia="Calibri" w:hAnsiTheme="minorHAnsi" w:cstheme="minorHAnsi"/>
          <w:color w:val="000000"/>
          <w:sz w:val="20"/>
          <w:szCs w:val="20"/>
        </w:rPr>
        <w:t>Suscripción</w:t>
      </w:r>
      <w:r w:rsidRPr="00E72D98">
        <w:rPr>
          <w:rFonts w:asciiTheme="minorHAnsi" w:eastAsia="Calibri" w:hAnsiTheme="minorHAnsi"/>
          <w:color w:val="000000"/>
          <w:sz w:val="20"/>
        </w:rPr>
        <w:t xml:space="preserve"> y de los derechos y obligaciones emergentes de la misma, será resuelto en forma definitiva e irrecurrible por el Tribunal de Arbitraje General de la BCBA por las reglas del arbitraje de derecho (sin perjuicio del derecho del Inversor de acudir a los tribunales judiciales competentes conforme el artículo 46 de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26.831 de Mercado de Capitales, sus modificatorias y complementarias).</w:t>
      </w:r>
    </w:p>
    <w:p w14:paraId="27BBDA03" w14:textId="77777777" w:rsidR="00C04B93" w:rsidRPr="00E72D98" w:rsidRDefault="00C04B93" w:rsidP="00C04B93">
      <w:pPr>
        <w:pBdr>
          <w:top w:val="nil"/>
          <w:left w:val="nil"/>
          <w:bottom w:val="nil"/>
          <w:right w:val="nil"/>
          <w:between w:val="nil"/>
        </w:pBdr>
        <w:ind w:left="284"/>
        <w:jc w:val="both"/>
        <w:rPr>
          <w:rFonts w:asciiTheme="minorHAnsi" w:eastAsia="Calibri" w:hAnsiTheme="minorHAnsi"/>
          <w:color w:val="000000"/>
          <w:sz w:val="20"/>
        </w:rPr>
      </w:pPr>
    </w:p>
    <w:p w14:paraId="6CA7770F" w14:textId="77777777" w:rsidR="00C04B93" w:rsidRPr="00E72D98" w:rsidRDefault="00C04B93" w:rsidP="00C04B93">
      <w:pPr>
        <w:numPr>
          <w:ilvl w:val="0"/>
          <w:numId w:val="1"/>
        </w:numPr>
        <w:pBdr>
          <w:top w:val="nil"/>
          <w:left w:val="nil"/>
          <w:bottom w:val="nil"/>
          <w:right w:val="nil"/>
          <w:between w:val="nil"/>
        </w:pBdr>
        <w:ind w:left="284" w:hanging="284"/>
        <w:jc w:val="both"/>
        <w:rPr>
          <w:rFonts w:asciiTheme="minorHAnsi" w:eastAsia="Calibri" w:hAnsiTheme="minorHAnsi"/>
          <w:color w:val="000000"/>
          <w:sz w:val="20"/>
        </w:rPr>
      </w:pPr>
      <w:r w:rsidRPr="00E72D98">
        <w:rPr>
          <w:rFonts w:asciiTheme="minorHAnsi" w:eastAsia="Calibri" w:hAnsiTheme="minorHAnsi"/>
          <w:b/>
          <w:color w:val="000000"/>
          <w:sz w:val="20"/>
        </w:rPr>
        <w:t>Responsabilidad:</w:t>
      </w:r>
      <w:r w:rsidRPr="00E72D98">
        <w:rPr>
          <w:rFonts w:asciiTheme="minorHAnsi" w:eastAsia="Calibri" w:hAnsiTheme="minorHAnsi"/>
          <w:color w:val="000000"/>
          <w:sz w:val="20"/>
        </w:rPr>
        <w:t xml:space="preserve"> Con excepción de lo dispuesto en el artículo 120 de la ley </w:t>
      </w:r>
      <w:proofErr w:type="spellStart"/>
      <w:r w:rsidRPr="00E72D98">
        <w:rPr>
          <w:rFonts w:asciiTheme="minorHAnsi" w:eastAsia="Calibri" w:hAnsiTheme="minorHAnsi"/>
          <w:color w:val="000000"/>
          <w:sz w:val="20"/>
        </w:rPr>
        <w:t>N°</w:t>
      </w:r>
      <w:proofErr w:type="spellEnd"/>
      <w:r w:rsidRPr="00E72D98">
        <w:rPr>
          <w:rFonts w:asciiTheme="minorHAnsi" w:eastAsia="Calibri" w:hAnsiTheme="minorHAnsi"/>
          <w:color w:val="000000"/>
          <w:sz w:val="20"/>
        </w:rPr>
        <w:t xml:space="preserve"> 26.831 de Mercado de Capitales y sus modificatorias y complementarias, los Colocadores no asumen ningún tipo de responsabilidad por los daños y perjuicios que pudiere sufrir el Inversor, directa o indirectamente relacionados con las Obligaciones Negociables, sea cual fuere el origen de tales daños y perjuicios. En particular, los Colocadores no responderán ante el Inversor en ningún caso por la solvencia o incumplimiento de las entidades, instituciones y personas con las que operen o realicen las transacciones directa o indirectamente relacionadas con las Obligaciones Negociables. En este sentido, y a mero título enunciativo, el Inversor reconoce expresamente que no ha recibido asesoramiento alguno de los Colocadores en relación con la conveniencia o no de suscribir las Obligaciones Negociables, habiendo tomado dicha decisión por su propia cuenta, y </w:t>
      </w:r>
      <w:r w:rsidRPr="00E72D98">
        <w:rPr>
          <w:rFonts w:asciiTheme="minorHAnsi" w:eastAsia="Calibri" w:hAnsiTheme="minorHAnsi"/>
          <w:color w:val="000000"/>
          <w:sz w:val="20"/>
        </w:rPr>
        <w:lastRenderedPageBreak/>
        <w:t>en base al análisis de riesgo realizado de manera independiente, en función del análisis de los Documentos de la Oferta (incluyendo, sin limitar, el Prospecto y el Suplemento), los que fueron puestos a disposición del Inversor por parte de los Colocadores. En virtud de lo expuesto, el Inversor renuncia expresamente a realizar reclamo alguno a los Colocadores en relación con las obligaciones emergentes de las Obligaciones Negociables y reconoce que las Obligaciones Negociables no cuentan con un mercado secundario asegurado. Por ello, el Colocador no puede brindar garantías ni responderá acerca de la liquidez o de la existencia de un mercado secundario con relación a las Obligaciones Negociables.</w:t>
      </w:r>
    </w:p>
    <w:p w14:paraId="6F8F6FB6" w14:textId="77777777" w:rsidR="00C04B93" w:rsidRPr="00E72D98" w:rsidRDefault="00C04B93" w:rsidP="00C04B93">
      <w:pPr>
        <w:pBdr>
          <w:top w:val="nil"/>
          <w:left w:val="nil"/>
          <w:bottom w:val="nil"/>
          <w:right w:val="nil"/>
          <w:between w:val="nil"/>
        </w:pBdr>
        <w:ind w:left="284"/>
        <w:jc w:val="both"/>
        <w:rPr>
          <w:rFonts w:asciiTheme="minorHAnsi" w:eastAsia="Calibri" w:hAnsiTheme="minorHAnsi"/>
          <w:color w:val="000000"/>
          <w:sz w:val="20"/>
        </w:rPr>
      </w:pPr>
    </w:p>
    <w:p w14:paraId="6CBD7D4B" w14:textId="77777777" w:rsidR="00C04B93" w:rsidRPr="00E72D98" w:rsidRDefault="00C04B93" w:rsidP="00C04B93">
      <w:pPr>
        <w:numPr>
          <w:ilvl w:val="0"/>
          <w:numId w:val="1"/>
        </w:numPr>
        <w:pBdr>
          <w:top w:val="nil"/>
          <w:left w:val="nil"/>
          <w:bottom w:val="nil"/>
          <w:right w:val="nil"/>
          <w:between w:val="nil"/>
        </w:pBdr>
        <w:ind w:left="284" w:hanging="284"/>
        <w:jc w:val="both"/>
        <w:rPr>
          <w:rFonts w:asciiTheme="minorHAnsi" w:eastAsia="Calibri" w:hAnsiTheme="minorHAnsi"/>
          <w:sz w:val="20"/>
        </w:rPr>
      </w:pPr>
      <w:r w:rsidRPr="00E72D98">
        <w:rPr>
          <w:rFonts w:asciiTheme="minorHAnsi" w:eastAsia="Calibri" w:hAnsiTheme="minorHAnsi"/>
          <w:color w:val="000000"/>
          <w:sz w:val="20"/>
        </w:rPr>
        <w:t>El Inversor toma conocimiento de las siguientes fechas:</w:t>
      </w:r>
    </w:p>
    <w:p w14:paraId="3C7CA0E7" w14:textId="77777777" w:rsidR="00C04B93" w:rsidRPr="00E72D98" w:rsidRDefault="00C04B93" w:rsidP="00C04B93">
      <w:pPr>
        <w:jc w:val="both"/>
        <w:rPr>
          <w:rFonts w:asciiTheme="minorHAnsi" w:eastAsia="Calibri" w:hAnsiTheme="minorHAnsi"/>
          <w:sz w:val="20"/>
        </w:rPr>
      </w:pPr>
    </w:p>
    <w:p w14:paraId="1435A519" w14:textId="77777777" w:rsidR="00C04B93" w:rsidRPr="00E72D98" w:rsidRDefault="00C04B93" w:rsidP="00C04B93">
      <w:pPr>
        <w:pStyle w:val="Prrafodelista"/>
        <w:numPr>
          <w:ilvl w:val="0"/>
          <w:numId w:val="2"/>
        </w:numPr>
        <w:contextualSpacing w:val="0"/>
        <w:jc w:val="both"/>
        <w:rPr>
          <w:rFonts w:asciiTheme="minorHAnsi" w:eastAsia="Calibri" w:hAnsiTheme="minorHAnsi"/>
          <w:sz w:val="20"/>
        </w:rPr>
      </w:pPr>
      <w:r w:rsidRPr="00E72D98">
        <w:rPr>
          <w:rFonts w:asciiTheme="minorHAnsi" w:eastAsia="Calibri" w:hAnsiTheme="minorHAnsi"/>
          <w:b/>
          <w:color w:val="000000"/>
          <w:sz w:val="20"/>
        </w:rPr>
        <w:t>Período de Difusión</w:t>
      </w:r>
      <w:r w:rsidRPr="00E72D98">
        <w:rPr>
          <w:rFonts w:asciiTheme="minorHAnsi" w:eastAsia="Calibri" w:hAnsiTheme="minorHAnsi"/>
          <w:color w:val="000000"/>
          <w:sz w:val="20"/>
        </w:rPr>
        <w:t xml:space="preserve">: comenzará el </w:t>
      </w:r>
      <w:r w:rsidRPr="00AB6B54">
        <w:rPr>
          <w:rFonts w:asciiTheme="minorHAnsi" w:eastAsia="Calibri" w:hAnsiTheme="minorHAnsi" w:cstheme="minorHAnsi"/>
          <w:color w:val="000000"/>
          <w:sz w:val="20"/>
          <w:szCs w:val="20"/>
        </w:rPr>
        <w:t>30</w:t>
      </w:r>
      <w:r w:rsidRPr="00E72D98">
        <w:rPr>
          <w:rFonts w:asciiTheme="minorHAnsi" w:eastAsia="Calibri" w:hAnsiTheme="minorHAnsi"/>
          <w:color w:val="000000"/>
          <w:sz w:val="20"/>
        </w:rPr>
        <w:t xml:space="preserve"> de </w:t>
      </w:r>
      <w:r w:rsidRPr="00AB6B54">
        <w:rPr>
          <w:rFonts w:asciiTheme="minorHAnsi" w:eastAsia="Calibri" w:hAnsiTheme="minorHAnsi" w:cstheme="minorHAnsi"/>
          <w:color w:val="000000"/>
          <w:sz w:val="20"/>
          <w:szCs w:val="20"/>
        </w:rPr>
        <w:t>octubre</w:t>
      </w:r>
      <w:r w:rsidRPr="00E72D98">
        <w:rPr>
          <w:rFonts w:asciiTheme="minorHAnsi" w:eastAsia="Calibri" w:hAnsiTheme="minorHAnsi"/>
          <w:color w:val="000000"/>
          <w:sz w:val="20"/>
        </w:rPr>
        <w:t xml:space="preserve"> de </w:t>
      </w:r>
      <w:r w:rsidRPr="00AB6B54">
        <w:rPr>
          <w:rFonts w:asciiTheme="minorHAnsi" w:eastAsia="Calibri" w:hAnsiTheme="minorHAnsi" w:cstheme="minorHAnsi"/>
          <w:color w:val="000000"/>
          <w:sz w:val="20"/>
          <w:szCs w:val="20"/>
        </w:rPr>
        <w:t>2026</w:t>
      </w:r>
      <w:r w:rsidRPr="00E72D98">
        <w:rPr>
          <w:rFonts w:asciiTheme="minorHAnsi" w:eastAsia="Calibri" w:hAnsiTheme="minorHAnsi"/>
          <w:color w:val="000000"/>
          <w:sz w:val="20"/>
        </w:rPr>
        <w:t xml:space="preserve"> a las 10:00 horas y finalizará el </w:t>
      </w:r>
      <w:r w:rsidRPr="00AB6B54">
        <w:rPr>
          <w:rFonts w:asciiTheme="minorHAnsi" w:eastAsia="Calibri" w:hAnsiTheme="minorHAnsi" w:cstheme="minorHAnsi"/>
          <w:color w:val="000000"/>
          <w:sz w:val="20"/>
          <w:szCs w:val="20"/>
        </w:rPr>
        <w:t>2</w:t>
      </w:r>
      <w:r w:rsidRPr="00E72D98">
        <w:rPr>
          <w:rFonts w:asciiTheme="minorHAnsi" w:eastAsia="Calibri" w:hAnsiTheme="minorHAnsi"/>
          <w:color w:val="000000"/>
          <w:sz w:val="20"/>
        </w:rPr>
        <w:t xml:space="preserve"> de </w:t>
      </w:r>
      <w:r w:rsidRPr="00AB6B54">
        <w:rPr>
          <w:rFonts w:asciiTheme="minorHAnsi" w:eastAsia="Calibri" w:hAnsiTheme="minorHAnsi" w:cstheme="minorHAnsi"/>
          <w:color w:val="000000"/>
          <w:sz w:val="20"/>
          <w:szCs w:val="20"/>
        </w:rPr>
        <w:t>noviembre</w:t>
      </w:r>
      <w:r w:rsidRPr="00E72D98">
        <w:rPr>
          <w:rFonts w:asciiTheme="minorHAnsi" w:eastAsia="Calibri" w:hAnsiTheme="minorHAnsi"/>
          <w:color w:val="000000"/>
          <w:sz w:val="20"/>
        </w:rPr>
        <w:t xml:space="preserve"> de </w:t>
      </w:r>
      <w:r w:rsidRPr="00AB6B54">
        <w:rPr>
          <w:rFonts w:asciiTheme="minorHAnsi" w:eastAsia="Calibri" w:hAnsiTheme="minorHAnsi" w:cstheme="minorHAnsi"/>
          <w:color w:val="000000"/>
          <w:sz w:val="20"/>
          <w:szCs w:val="20"/>
        </w:rPr>
        <w:t>2026</w:t>
      </w:r>
      <w:r w:rsidRPr="00E72D98">
        <w:rPr>
          <w:rFonts w:asciiTheme="minorHAnsi" w:eastAsia="Calibri" w:hAnsiTheme="minorHAnsi"/>
          <w:color w:val="000000"/>
          <w:sz w:val="20"/>
        </w:rPr>
        <w:t xml:space="preserve"> a las 18:00 horas de dicha fecha (hora de la Ciudad Autónoma de Buenos Aires)</w:t>
      </w:r>
      <w:r w:rsidRPr="00E72D98">
        <w:rPr>
          <w:rFonts w:asciiTheme="minorHAnsi" w:eastAsia="Calibri" w:hAnsiTheme="minorHAnsi"/>
          <w:sz w:val="20"/>
        </w:rPr>
        <w:t>.</w:t>
      </w:r>
    </w:p>
    <w:p w14:paraId="690B6820" w14:textId="77777777" w:rsidR="00C04B93" w:rsidRPr="00E72D98" w:rsidRDefault="00C04B93" w:rsidP="00C04B93">
      <w:pPr>
        <w:pBdr>
          <w:top w:val="nil"/>
          <w:left w:val="nil"/>
          <w:bottom w:val="nil"/>
          <w:right w:val="nil"/>
          <w:between w:val="nil"/>
        </w:pBdr>
        <w:ind w:left="284"/>
        <w:jc w:val="both"/>
        <w:rPr>
          <w:rFonts w:asciiTheme="minorHAnsi" w:eastAsia="Calibri" w:hAnsiTheme="minorHAnsi"/>
          <w:color w:val="000000"/>
          <w:sz w:val="20"/>
        </w:rPr>
      </w:pPr>
    </w:p>
    <w:p w14:paraId="75A68EBB" w14:textId="77777777" w:rsidR="00C04B93" w:rsidRPr="00E72D98" w:rsidRDefault="00C04B93" w:rsidP="00C04B93">
      <w:pPr>
        <w:pStyle w:val="Prrafodelista"/>
        <w:numPr>
          <w:ilvl w:val="0"/>
          <w:numId w:val="2"/>
        </w:numPr>
        <w:pBdr>
          <w:top w:val="nil"/>
          <w:left w:val="nil"/>
          <w:bottom w:val="nil"/>
          <w:right w:val="nil"/>
          <w:between w:val="nil"/>
        </w:pBdr>
        <w:contextualSpacing w:val="0"/>
        <w:jc w:val="both"/>
        <w:rPr>
          <w:rFonts w:asciiTheme="minorHAnsi" w:eastAsia="Calibri" w:hAnsiTheme="minorHAnsi"/>
          <w:color w:val="000000"/>
          <w:sz w:val="20"/>
        </w:rPr>
      </w:pPr>
      <w:r w:rsidRPr="00E72D98">
        <w:rPr>
          <w:rFonts w:asciiTheme="minorHAnsi" w:eastAsia="Calibri" w:hAnsiTheme="minorHAnsi"/>
          <w:b/>
          <w:color w:val="000000"/>
          <w:sz w:val="20"/>
        </w:rPr>
        <w:t xml:space="preserve">Período de </w:t>
      </w:r>
      <w:r w:rsidRPr="00AB6B54">
        <w:rPr>
          <w:rFonts w:asciiTheme="minorHAnsi" w:eastAsia="Calibri" w:hAnsiTheme="minorHAnsi" w:cstheme="minorHAnsi"/>
          <w:b/>
          <w:bCs/>
          <w:color w:val="000000"/>
          <w:sz w:val="20"/>
          <w:szCs w:val="20"/>
        </w:rPr>
        <w:t>Licitación Pública</w:t>
      </w:r>
      <w:r w:rsidRPr="00E72D98">
        <w:rPr>
          <w:rFonts w:asciiTheme="minorHAnsi" w:eastAsia="Calibri" w:hAnsiTheme="minorHAnsi"/>
          <w:color w:val="000000"/>
          <w:sz w:val="20"/>
        </w:rPr>
        <w:t xml:space="preserve">: comenzará a las 10:00 </w:t>
      </w:r>
      <w:proofErr w:type="spellStart"/>
      <w:r w:rsidRPr="00E72D98">
        <w:rPr>
          <w:rFonts w:asciiTheme="minorHAnsi" w:eastAsia="Calibri" w:hAnsiTheme="minorHAnsi"/>
          <w:color w:val="000000"/>
          <w:sz w:val="20"/>
        </w:rPr>
        <w:t>hs</w:t>
      </w:r>
      <w:proofErr w:type="spellEnd"/>
      <w:r w:rsidRPr="00E72D98">
        <w:rPr>
          <w:rFonts w:asciiTheme="minorHAnsi" w:eastAsia="Calibri" w:hAnsiTheme="minorHAnsi"/>
          <w:color w:val="000000"/>
          <w:sz w:val="20"/>
        </w:rPr>
        <w:t>. y finalizará a las 16:</w:t>
      </w:r>
      <w:r>
        <w:rPr>
          <w:rFonts w:asciiTheme="minorHAnsi" w:eastAsia="Calibri" w:hAnsiTheme="minorHAnsi" w:cstheme="minorHAnsi"/>
          <w:color w:val="000000"/>
          <w:sz w:val="20"/>
          <w:szCs w:val="20"/>
        </w:rPr>
        <w:t>00</w:t>
      </w:r>
      <w:r w:rsidRPr="00E72D98">
        <w:rPr>
          <w:rFonts w:asciiTheme="minorHAnsi" w:eastAsia="Calibri" w:hAnsiTheme="minorHAnsi"/>
          <w:color w:val="000000"/>
          <w:sz w:val="20"/>
        </w:rPr>
        <w:t xml:space="preserve"> </w:t>
      </w:r>
      <w:proofErr w:type="spellStart"/>
      <w:r w:rsidRPr="00E72D98">
        <w:rPr>
          <w:rFonts w:asciiTheme="minorHAnsi" w:eastAsia="Calibri" w:hAnsiTheme="minorHAnsi"/>
          <w:color w:val="000000"/>
          <w:sz w:val="20"/>
        </w:rPr>
        <w:t>hs</w:t>
      </w:r>
      <w:proofErr w:type="spellEnd"/>
      <w:r w:rsidRPr="00E72D98">
        <w:rPr>
          <w:rFonts w:asciiTheme="minorHAnsi" w:eastAsia="Calibri" w:hAnsiTheme="minorHAnsi"/>
          <w:color w:val="000000"/>
          <w:sz w:val="20"/>
        </w:rPr>
        <w:t xml:space="preserve">. del </w:t>
      </w:r>
      <w:r>
        <w:rPr>
          <w:rFonts w:asciiTheme="minorHAnsi" w:eastAsia="Calibri" w:hAnsiTheme="minorHAnsi" w:cstheme="minorHAnsi"/>
          <w:color w:val="000000"/>
          <w:sz w:val="20"/>
          <w:szCs w:val="20"/>
        </w:rPr>
        <w:t>3</w:t>
      </w:r>
      <w:r w:rsidRPr="00E72D98">
        <w:rPr>
          <w:rFonts w:asciiTheme="minorHAnsi" w:eastAsia="Calibri" w:hAnsiTheme="minorHAnsi"/>
          <w:color w:val="000000"/>
          <w:sz w:val="20"/>
        </w:rPr>
        <w:t xml:space="preserve"> de </w:t>
      </w:r>
      <w:r>
        <w:rPr>
          <w:rFonts w:asciiTheme="minorHAnsi" w:eastAsia="Calibri" w:hAnsiTheme="minorHAnsi" w:cstheme="minorHAnsi"/>
          <w:color w:val="000000"/>
          <w:sz w:val="20"/>
          <w:szCs w:val="20"/>
        </w:rPr>
        <w:t>noviembre</w:t>
      </w:r>
      <w:r w:rsidRPr="00E72D98">
        <w:rPr>
          <w:rFonts w:asciiTheme="minorHAnsi" w:eastAsia="Calibri" w:hAnsiTheme="minorHAnsi"/>
          <w:color w:val="000000"/>
          <w:sz w:val="20"/>
        </w:rPr>
        <w:t xml:space="preserve"> de </w:t>
      </w:r>
      <w:r>
        <w:rPr>
          <w:rFonts w:asciiTheme="minorHAnsi" w:eastAsia="Calibri" w:hAnsiTheme="minorHAnsi" w:cstheme="minorHAnsi"/>
          <w:color w:val="000000"/>
          <w:sz w:val="20"/>
          <w:szCs w:val="20"/>
        </w:rPr>
        <w:t xml:space="preserve">2026. Las Órdenes de Suscripción para cartera propia de los Colocadores deberán ser ingresadas hasta las 15:30 </w:t>
      </w:r>
      <w:proofErr w:type="spellStart"/>
      <w:r>
        <w:rPr>
          <w:rFonts w:asciiTheme="minorHAnsi" w:eastAsia="Calibri" w:hAnsiTheme="minorHAnsi" w:cstheme="minorHAnsi"/>
          <w:color w:val="000000"/>
          <w:sz w:val="20"/>
          <w:szCs w:val="20"/>
        </w:rPr>
        <w:t>hs</w:t>
      </w:r>
      <w:proofErr w:type="spellEnd"/>
      <w:r>
        <w:rPr>
          <w:rFonts w:asciiTheme="minorHAnsi" w:eastAsia="Calibri" w:hAnsiTheme="minorHAnsi" w:cstheme="minorHAnsi"/>
          <w:color w:val="000000"/>
          <w:sz w:val="20"/>
          <w:szCs w:val="20"/>
        </w:rPr>
        <w:t>. de dicha fecha</w:t>
      </w:r>
      <w:r w:rsidRPr="00E72D98">
        <w:rPr>
          <w:rFonts w:asciiTheme="minorHAnsi" w:eastAsia="Calibri" w:hAnsiTheme="minorHAnsi"/>
          <w:color w:val="000000"/>
          <w:sz w:val="20"/>
        </w:rPr>
        <w:t>.</w:t>
      </w:r>
      <w:r w:rsidRPr="00E72D98">
        <w:rPr>
          <w:rFonts w:asciiTheme="minorHAnsi" w:eastAsia="Calibri" w:hAnsiTheme="minorHAnsi"/>
          <w:sz w:val="20"/>
          <w:vertAlign w:val="superscript"/>
        </w:rPr>
        <w:footnoteReference w:id="1"/>
      </w:r>
    </w:p>
    <w:p w14:paraId="11BE867C" w14:textId="77777777" w:rsidR="00C04B93" w:rsidRPr="00E72D98" w:rsidRDefault="00C04B93" w:rsidP="00C04B93">
      <w:pPr>
        <w:pBdr>
          <w:top w:val="nil"/>
          <w:left w:val="nil"/>
          <w:bottom w:val="nil"/>
          <w:right w:val="nil"/>
          <w:between w:val="nil"/>
        </w:pBdr>
        <w:ind w:left="284"/>
        <w:jc w:val="both"/>
        <w:rPr>
          <w:rFonts w:asciiTheme="minorHAnsi" w:eastAsia="Calibri" w:hAnsiTheme="minorHAnsi"/>
          <w:color w:val="000000"/>
          <w:sz w:val="20"/>
        </w:rPr>
      </w:pPr>
    </w:p>
    <w:p w14:paraId="553A01E9" w14:textId="77777777" w:rsidR="00C04B93" w:rsidRPr="00E72D98" w:rsidRDefault="00C04B93" w:rsidP="00C04B93">
      <w:pPr>
        <w:pStyle w:val="Prrafodelista"/>
        <w:numPr>
          <w:ilvl w:val="0"/>
          <w:numId w:val="2"/>
        </w:numPr>
        <w:pBdr>
          <w:top w:val="nil"/>
          <w:left w:val="nil"/>
          <w:bottom w:val="nil"/>
          <w:right w:val="nil"/>
          <w:between w:val="nil"/>
        </w:pBdr>
        <w:contextualSpacing w:val="0"/>
        <w:jc w:val="both"/>
        <w:rPr>
          <w:rFonts w:asciiTheme="minorHAnsi" w:eastAsia="Calibri" w:hAnsiTheme="minorHAnsi"/>
          <w:color w:val="000000"/>
          <w:sz w:val="20"/>
        </w:rPr>
      </w:pPr>
      <w:r w:rsidRPr="00E72D98">
        <w:rPr>
          <w:rFonts w:asciiTheme="minorHAnsi" w:eastAsia="Calibri" w:hAnsiTheme="minorHAnsi"/>
          <w:b/>
          <w:color w:val="000000"/>
          <w:sz w:val="20"/>
        </w:rPr>
        <w:t>Fecha de Emisión y Liquidación</w:t>
      </w:r>
      <w:r w:rsidRPr="00E72D98">
        <w:rPr>
          <w:rFonts w:asciiTheme="minorHAnsi" w:eastAsia="Calibri" w:hAnsiTheme="minorHAnsi"/>
          <w:color w:val="000000"/>
          <w:sz w:val="20"/>
        </w:rPr>
        <w:t xml:space="preserve">: Será el 5 de </w:t>
      </w:r>
      <w:r w:rsidRPr="00AB6B54">
        <w:rPr>
          <w:rFonts w:asciiTheme="minorHAnsi" w:eastAsia="Calibri" w:hAnsiTheme="minorHAnsi" w:cstheme="minorHAnsi"/>
          <w:color w:val="000000"/>
          <w:sz w:val="20"/>
          <w:szCs w:val="20"/>
        </w:rPr>
        <w:t>noviembre</w:t>
      </w:r>
      <w:r w:rsidRPr="00E72D98">
        <w:rPr>
          <w:rFonts w:asciiTheme="minorHAnsi" w:eastAsia="Calibri" w:hAnsiTheme="minorHAnsi"/>
          <w:color w:val="000000"/>
          <w:sz w:val="20"/>
        </w:rPr>
        <w:t xml:space="preserve"> de </w:t>
      </w:r>
      <w:r w:rsidRPr="00AB6B54">
        <w:rPr>
          <w:rFonts w:asciiTheme="minorHAnsi" w:eastAsia="Calibri" w:hAnsiTheme="minorHAnsi" w:cstheme="minorHAnsi"/>
          <w:color w:val="000000"/>
          <w:sz w:val="20"/>
          <w:szCs w:val="20"/>
        </w:rPr>
        <w:t>2026</w:t>
      </w:r>
      <w:r w:rsidRPr="00E72D98">
        <w:rPr>
          <w:rFonts w:asciiTheme="minorHAnsi" w:eastAsia="Calibri" w:hAnsiTheme="minorHAnsi"/>
          <w:color w:val="000000"/>
          <w:sz w:val="20"/>
        </w:rPr>
        <w:t>.</w:t>
      </w:r>
    </w:p>
    <w:p w14:paraId="2D6830B2" w14:textId="77777777" w:rsidR="00C04B93" w:rsidRPr="00E72D98" w:rsidRDefault="00C04B93" w:rsidP="00C04B93">
      <w:pPr>
        <w:pBdr>
          <w:top w:val="nil"/>
          <w:left w:val="nil"/>
          <w:bottom w:val="nil"/>
          <w:right w:val="nil"/>
          <w:between w:val="nil"/>
        </w:pBdr>
        <w:ind w:left="720"/>
        <w:jc w:val="both"/>
        <w:rPr>
          <w:rFonts w:asciiTheme="minorHAnsi" w:eastAsia="Calibri" w:hAnsiTheme="minorHAnsi"/>
          <w:i/>
          <w:color w:val="000000"/>
          <w:sz w:val="20"/>
        </w:rPr>
      </w:pPr>
    </w:p>
    <w:p w14:paraId="1120E978" w14:textId="77777777" w:rsidR="00C04B93" w:rsidRPr="00E72D98" w:rsidRDefault="00C04B93" w:rsidP="00C04B93">
      <w:pPr>
        <w:jc w:val="both"/>
        <w:rPr>
          <w:rFonts w:asciiTheme="minorHAnsi" w:eastAsia="Calibri" w:hAnsiTheme="minorHAnsi"/>
          <w:sz w:val="20"/>
        </w:rPr>
      </w:pPr>
      <w:r w:rsidRPr="00E72D98">
        <w:rPr>
          <w:rFonts w:asciiTheme="minorHAnsi" w:eastAsia="Calibri" w:hAnsiTheme="minorHAnsi"/>
          <w:sz w:val="20"/>
        </w:rPr>
        <w:t xml:space="preserve">El Inversor reconoce que los Colocadores se reservan el derecho de no aceptar las </w:t>
      </w:r>
      <w:r>
        <w:rPr>
          <w:rFonts w:asciiTheme="minorHAnsi" w:eastAsia="Calibri" w:hAnsiTheme="minorHAnsi" w:cstheme="minorHAnsi"/>
          <w:sz w:val="20"/>
          <w:szCs w:val="20"/>
        </w:rPr>
        <w:t>Órdenes</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xml:space="preserve"> que no cumplan con todos los requisitos establecidos en los Documentos de la Oferta y en la presente.</w:t>
      </w:r>
    </w:p>
    <w:p w14:paraId="36A95B0A" w14:textId="77777777" w:rsidR="00C04B93" w:rsidRPr="00E72D98" w:rsidRDefault="00C04B93" w:rsidP="00C04B93">
      <w:pPr>
        <w:jc w:val="both"/>
        <w:rPr>
          <w:rFonts w:asciiTheme="minorHAnsi" w:eastAsia="Calibri" w:hAnsiTheme="minorHAnsi"/>
          <w:sz w:val="20"/>
        </w:rPr>
      </w:pPr>
    </w:p>
    <w:p w14:paraId="1A165C30" w14:textId="77777777" w:rsidR="00C04B93" w:rsidRPr="00E72D98" w:rsidRDefault="00C04B93" w:rsidP="00C04B93">
      <w:pPr>
        <w:jc w:val="both"/>
        <w:rPr>
          <w:rFonts w:asciiTheme="minorHAnsi" w:eastAsia="Calibri" w:hAnsiTheme="minorHAnsi"/>
          <w:sz w:val="20"/>
        </w:rPr>
      </w:pPr>
      <w:r w:rsidRPr="00E72D98">
        <w:rPr>
          <w:rFonts w:asciiTheme="minorHAnsi" w:eastAsia="Calibri" w:hAnsiTheme="minorHAnsi"/>
          <w:sz w:val="20"/>
        </w:rPr>
        <w:t>El Inversor manifiesta estar familiarizado con los riesgos asociados a las Obligaciones Negociables y haber leído cuidadosamente el Prospecto y el Suplemento (incluyendo, sin limitación, las advertencias y las condiciones de riesgo para la emisión contenidas en dichos documentos), de los que ha recibido copia. Adicionalmente el Inversor manifiesta que conoce y acepta el procedimiento de colocación establecido en el Suplemento.</w:t>
      </w:r>
    </w:p>
    <w:p w14:paraId="66DB50D6" w14:textId="77777777" w:rsidR="00C04B93" w:rsidRPr="00E72D98" w:rsidRDefault="00C04B93" w:rsidP="00C04B93">
      <w:pPr>
        <w:jc w:val="both"/>
        <w:rPr>
          <w:rFonts w:asciiTheme="minorHAnsi" w:eastAsia="Calibri" w:hAnsiTheme="minorHAnsi"/>
          <w:sz w:val="20"/>
        </w:rPr>
      </w:pPr>
    </w:p>
    <w:p w14:paraId="06B912D0" w14:textId="77777777" w:rsidR="00C04B93" w:rsidRPr="00E72D98" w:rsidRDefault="00C04B93" w:rsidP="00C04B93">
      <w:pPr>
        <w:jc w:val="both"/>
        <w:rPr>
          <w:rFonts w:asciiTheme="minorHAnsi" w:eastAsia="Calibri" w:hAnsiTheme="minorHAnsi"/>
          <w:sz w:val="20"/>
        </w:rPr>
      </w:pPr>
      <w:r w:rsidRPr="00E72D98">
        <w:rPr>
          <w:rFonts w:asciiTheme="minorHAnsi" w:eastAsia="Calibri" w:hAnsiTheme="minorHAnsi"/>
          <w:sz w:val="20"/>
        </w:rPr>
        <w:t xml:space="preserve">Asimismo, el Inversor acepta que de resultar adjudicada la presente </w:t>
      </w:r>
      <w:r>
        <w:rPr>
          <w:rFonts w:asciiTheme="minorHAnsi" w:eastAsia="Calibri" w:hAnsiTheme="minorHAnsi" w:cstheme="minorHAnsi"/>
          <w:sz w:val="20"/>
          <w:szCs w:val="20"/>
        </w:rPr>
        <w:t>Orden</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xml:space="preserve">, no obstante el precio de suscripción y cantidad de Obligaciones Negociables propuestas en la presente </w:t>
      </w:r>
      <w:r>
        <w:rPr>
          <w:rFonts w:asciiTheme="minorHAnsi" w:eastAsia="Calibri" w:hAnsiTheme="minorHAnsi" w:cstheme="minorHAnsi"/>
          <w:sz w:val="20"/>
          <w:szCs w:val="20"/>
        </w:rPr>
        <w:t>Orden</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la Tasa de Corte y la cantidad de Obligaciones Negociables serán determinados de conformidad con el procedimiento previsto en el Suplemento</w:t>
      </w:r>
      <w:r>
        <w:rPr>
          <w:rFonts w:asciiTheme="minorHAnsi" w:eastAsia="Calibri" w:hAnsiTheme="minorHAnsi" w:cstheme="minorHAnsi"/>
          <w:sz w:val="20"/>
          <w:szCs w:val="20"/>
        </w:rPr>
        <w:t>.</w:t>
      </w:r>
      <w:r w:rsidRPr="00E72D98">
        <w:rPr>
          <w:rFonts w:asciiTheme="minorHAnsi" w:eastAsia="Calibri" w:hAnsiTheme="minorHAnsi"/>
          <w:sz w:val="20"/>
        </w:rPr>
        <w:t xml:space="preserve"> Como consecuencia de ello, podría haber sobresuscripción respecto del monto de Obligaciones Negociables que se decida emitir y colocar. El Inversor reconoce que en ningún caso podrá efectuar reclamo alguno </w:t>
      </w:r>
      <w:r>
        <w:rPr>
          <w:rFonts w:asciiTheme="minorHAnsi" w:eastAsia="Calibri" w:hAnsiTheme="minorHAnsi" w:cstheme="minorHAnsi"/>
          <w:sz w:val="20"/>
          <w:szCs w:val="20"/>
        </w:rPr>
        <w:t>a la Emisora</w:t>
      </w:r>
      <w:r w:rsidRPr="00E72D98">
        <w:rPr>
          <w:rFonts w:asciiTheme="minorHAnsi" w:eastAsia="Calibri" w:hAnsiTheme="minorHAnsi"/>
          <w:sz w:val="20"/>
        </w:rPr>
        <w:t xml:space="preserve"> o al Colocador por la tasa y/o la cantidad de Obligaciones Negociables efectivamente </w:t>
      </w:r>
      <w:r>
        <w:rPr>
          <w:rFonts w:asciiTheme="minorHAnsi" w:eastAsia="Calibri" w:hAnsiTheme="minorHAnsi" w:cstheme="minorHAnsi"/>
          <w:sz w:val="20"/>
          <w:szCs w:val="20"/>
        </w:rPr>
        <w:t>colocadas</w:t>
      </w:r>
      <w:r w:rsidRPr="00E72D98">
        <w:rPr>
          <w:rFonts w:asciiTheme="minorHAnsi" w:eastAsia="Calibri" w:hAnsiTheme="minorHAnsi"/>
          <w:sz w:val="20"/>
        </w:rPr>
        <w:t xml:space="preserve"> a favor del Inversor.</w:t>
      </w:r>
    </w:p>
    <w:p w14:paraId="05136CB7" w14:textId="77777777" w:rsidR="00C04B93" w:rsidRPr="00E72D98" w:rsidRDefault="00C04B93" w:rsidP="00C04B93">
      <w:pPr>
        <w:jc w:val="both"/>
        <w:rPr>
          <w:rFonts w:asciiTheme="minorHAnsi" w:eastAsia="Calibri" w:hAnsiTheme="minorHAnsi"/>
          <w:sz w:val="20"/>
        </w:rPr>
      </w:pPr>
    </w:p>
    <w:p w14:paraId="553E4FF7" w14:textId="77777777" w:rsidR="00C04B93" w:rsidRPr="00AB6B54" w:rsidRDefault="00C04B93" w:rsidP="00C04B93">
      <w:pPr>
        <w:jc w:val="both"/>
        <w:rPr>
          <w:rFonts w:asciiTheme="minorHAnsi" w:eastAsia="Calibri" w:hAnsiTheme="minorHAnsi" w:cstheme="minorHAnsi"/>
          <w:sz w:val="20"/>
          <w:szCs w:val="20"/>
        </w:rPr>
      </w:pPr>
      <w:r w:rsidRPr="00E72D98">
        <w:rPr>
          <w:rFonts w:asciiTheme="minorHAnsi" w:eastAsia="Calibri" w:hAnsiTheme="minorHAnsi"/>
          <w:sz w:val="20"/>
        </w:rPr>
        <w:t>Finalmente, el Inversor declara conocer, entender e irrevocablemente aceptar: (i) todos y cada uno de los términos y condiciones del Suplemento y la totalidad de las declaraciones, avisos y demás información contenida en el Prospecto, el Suplemento, el Aviso de Suscripción, y los demás Documentos de la Oferta de las Obligaciones Negociables, documentos que asimismo declara haber tenido a su disposición; (</w:t>
      </w:r>
      <w:proofErr w:type="spellStart"/>
      <w:r w:rsidRPr="00E72D98">
        <w:rPr>
          <w:rFonts w:asciiTheme="minorHAnsi" w:eastAsia="Calibri" w:hAnsiTheme="minorHAnsi"/>
          <w:sz w:val="20"/>
        </w:rPr>
        <w:t>ii</w:t>
      </w:r>
      <w:proofErr w:type="spellEnd"/>
      <w:r w:rsidRPr="00E72D98">
        <w:rPr>
          <w:rFonts w:asciiTheme="minorHAnsi" w:eastAsia="Calibri" w:hAnsiTheme="minorHAnsi"/>
          <w:sz w:val="20"/>
        </w:rPr>
        <w:t xml:space="preserve">) que el Colocador o la Emisora podrán rechazar su </w:t>
      </w:r>
      <w:r>
        <w:rPr>
          <w:rFonts w:asciiTheme="minorHAnsi" w:eastAsia="Calibri" w:hAnsiTheme="minorHAnsi" w:cstheme="minorHAnsi"/>
          <w:sz w:val="20"/>
          <w:szCs w:val="20"/>
        </w:rPr>
        <w:t>Orden</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xml:space="preserve"> en caso que, según opinión del Colocador o la Emisora, pueda tratarse de una operación sospechosa en los términos del Régimen de Prevención del Lavado de Activos</w:t>
      </w:r>
      <w:r>
        <w:rPr>
          <w:rFonts w:asciiTheme="minorHAnsi" w:eastAsia="Calibri" w:hAnsiTheme="minorHAnsi" w:cstheme="minorHAnsi"/>
          <w:sz w:val="20"/>
          <w:szCs w:val="20"/>
        </w:rPr>
        <w:t>,</w:t>
      </w:r>
      <w:r w:rsidRPr="00E72D98">
        <w:rPr>
          <w:rFonts w:asciiTheme="minorHAnsi" w:eastAsia="Calibri" w:hAnsiTheme="minorHAnsi"/>
          <w:sz w:val="20"/>
        </w:rPr>
        <w:t xml:space="preserve"> Financiación del Terrorismo</w:t>
      </w:r>
      <w:r>
        <w:rPr>
          <w:rFonts w:asciiTheme="minorHAnsi" w:eastAsia="Calibri" w:hAnsiTheme="minorHAnsi" w:cstheme="minorHAnsi"/>
          <w:sz w:val="20"/>
          <w:szCs w:val="20"/>
        </w:rPr>
        <w:t xml:space="preserve"> y Financiamiento de la Proliferación de Armas de Destrucción Masiva</w:t>
      </w:r>
      <w:r w:rsidRPr="00E72D98">
        <w:rPr>
          <w:rFonts w:asciiTheme="minorHAnsi" w:eastAsia="Calibri" w:hAnsiTheme="minorHAnsi"/>
          <w:sz w:val="20"/>
        </w:rPr>
        <w:t xml:space="preserve">; (iii) que ni la Emisora, ni el Colocador garantizan a los Inversores que remitan alguna Orden de Suscripción que, mediante el sistema de adjudicación que corresponda a cada Obligación Negociable, se les adjudicará el mismo valor nominal de Obligaciones Negociables detallado en la </w:t>
      </w:r>
      <w:r>
        <w:rPr>
          <w:rFonts w:asciiTheme="minorHAnsi" w:eastAsia="Calibri" w:hAnsiTheme="minorHAnsi" w:cstheme="minorHAnsi"/>
          <w:sz w:val="20"/>
          <w:szCs w:val="20"/>
        </w:rPr>
        <w:t>Orden</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xml:space="preserve"> (pudiendo inclusive no serle adjudicada ninguna Obligación Negociable), ni que se le adjudicarán las Obligaciones Negociables por el monto solicitado o la Tasa Fija Solicitada; (</w:t>
      </w:r>
      <w:proofErr w:type="spellStart"/>
      <w:r w:rsidRPr="00E72D98">
        <w:rPr>
          <w:rFonts w:asciiTheme="minorHAnsi" w:eastAsia="Calibri" w:hAnsiTheme="minorHAnsi"/>
          <w:sz w:val="20"/>
        </w:rPr>
        <w:t>iv</w:t>
      </w:r>
      <w:proofErr w:type="spellEnd"/>
      <w:r w:rsidRPr="00E72D98">
        <w:rPr>
          <w:rFonts w:asciiTheme="minorHAnsi" w:eastAsia="Calibri" w:hAnsiTheme="minorHAnsi"/>
          <w:sz w:val="20"/>
        </w:rPr>
        <w:t xml:space="preserve">) que </w:t>
      </w:r>
      <w:r w:rsidRPr="00E72D98">
        <w:rPr>
          <w:rFonts w:asciiTheme="minorHAnsi" w:eastAsia="Calibri" w:hAnsiTheme="minorHAnsi"/>
          <w:sz w:val="20"/>
        </w:rPr>
        <w:lastRenderedPageBreak/>
        <w:t xml:space="preserve">todos los datos e información personal del Inversor consignados en la presente son fidedignos y veraces a la fecha de la presente, en tal sentido, el Inversor se compromete a notificar al Colocador cualquier cambio/modificación que se produzca respecto de los datos y documentación aportados dentro de los 30 (treinta) días corridos de producidos; (v) que la Emisora y el Colocador se reservan el derecho de dejar sin efecto la emisión en cualquier momento, a más tardar hasta la efectiva emisión de las Obligaciones Negociables, sin derecho a indemnización y/o compensación alguno por parte de la Emisora o el Colocador al Inversor; (vi) que la </w:t>
      </w:r>
      <w:r>
        <w:rPr>
          <w:rFonts w:asciiTheme="minorHAnsi" w:eastAsia="Calibri" w:hAnsiTheme="minorHAnsi" w:cstheme="minorHAnsi"/>
          <w:sz w:val="20"/>
          <w:szCs w:val="20"/>
        </w:rPr>
        <w:t>Orden de Suscripción podrá ser presentada al Colocador por cualquiera de los medios previstos en la sección “</w:t>
      </w:r>
      <w:r>
        <w:rPr>
          <w:rFonts w:asciiTheme="minorHAnsi" w:eastAsia="Calibri" w:hAnsiTheme="minorHAnsi" w:cstheme="minorHAnsi"/>
          <w:i/>
          <w:iCs/>
          <w:sz w:val="20"/>
          <w:szCs w:val="20"/>
        </w:rPr>
        <w:t>Plan de Distribución</w:t>
      </w:r>
      <w:r>
        <w:rPr>
          <w:rFonts w:asciiTheme="minorHAnsi" w:eastAsia="Calibri" w:hAnsiTheme="minorHAnsi" w:cstheme="minorHAnsi"/>
          <w:sz w:val="20"/>
          <w:szCs w:val="20"/>
        </w:rPr>
        <w:t xml:space="preserve">” del Suplemento, incluyendo (a) en forma verbal mediante sistemas telefónicos con registro y grabación de llamadas; (b) en forma presencial en las oficinas del Colocador; o (c) por medios electrónicos, incluyendo correo electrónico, “home </w:t>
      </w:r>
      <w:proofErr w:type="spellStart"/>
      <w:r>
        <w:rPr>
          <w:rFonts w:asciiTheme="minorHAnsi" w:eastAsia="Calibri" w:hAnsiTheme="minorHAnsi" w:cstheme="minorHAnsi"/>
          <w:sz w:val="20"/>
          <w:szCs w:val="20"/>
        </w:rPr>
        <w:t>banking</w:t>
      </w:r>
      <w:proofErr w:type="spellEnd"/>
      <w:r>
        <w:rPr>
          <w:rFonts w:asciiTheme="minorHAnsi" w:eastAsia="Calibri" w:hAnsiTheme="minorHAnsi" w:cstheme="minorHAnsi"/>
          <w:sz w:val="20"/>
          <w:szCs w:val="20"/>
        </w:rPr>
        <w:t>” u otras plataformas habilitadas por el Colocador, quien podrá establecer los mecanismos que permitan la validación fehaciente de la identidad y voluntad del Inversor, debiendo en todos los casos ser recibida antes de finalizar el Período de Licitación Pública</w:t>
      </w:r>
      <w:r w:rsidRPr="00E72D98">
        <w:rPr>
          <w:rFonts w:asciiTheme="minorHAnsi" w:eastAsia="Calibri" w:hAnsiTheme="minorHAnsi"/>
          <w:sz w:val="20"/>
        </w:rPr>
        <w:t>; (</w:t>
      </w:r>
      <w:proofErr w:type="spellStart"/>
      <w:r w:rsidRPr="00E72D98">
        <w:rPr>
          <w:rFonts w:asciiTheme="minorHAnsi" w:eastAsia="Calibri" w:hAnsiTheme="minorHAnsi"/>
          <w:sz w:val="20"/>
        </w:rPr>
        <w:t>vii</w:t>
      </w:r>
      <w:proofErr w:type="spellEnd"/>
      <w:r w:rsidRPr="00E72D98">
        <w:rPr>
          <w:rFonts w:asciiTheme="minorHAnsi" w:eastAsia="Calibri" w:hAnsiTheme="minorHAnsi"/>
          <w:sz w:val="20"/>
        </w:rPr>
        <w:t>) que se ha basado en su propio análisis de las Obligaciones Negociables, incluyendo los beneficios y riesgos involucrados en relación con las Obligaciones Negociables y la Emisora, y considera que los mismos son adecuados a su nivel de entendimiento, perfil del inversor y tolerancia al riesgo, y que no ha recibido ningún tipo de asesoramiento legal, comercial, financiero, cambiario, impositivo y/o de otro tipo por parte del Colocador y/o de cualquiera de sus sociedades controlantes, controladas, vinculadas o sujetas al control común, razón por la cual también reconoce que la puesta a disposición de la presente por vía electrónica o en formato papel no implica ni será interpretado bajo ninguna circunstancia como una recomendación de compra o asesoramiento por parte del Colocador y/o de cualquiera de sus sociedades controlantes, controladas, vinculadas o sujetas al control común; (</w:t>
      </w:r>
      <w:proofErr w:type="spellStart"/>
      <w:r w:rsidRPr="00E72D98">
        <w:rPr>
          <w:rFonts w:asciiTheme="minorHAnsi" w:eastAsia="Calibri" w:hAnsiTheme="minorHAnsi"/>
          <w:sz w:val="20"/>
        </w:rPr>
        <w:t>viii</w:t>
      </w:r>
      <w:proofErr w:type="spellEnd"/>
      <w:r w:rsidRPr="00E72D98">
        <w:rPr>
          <w:rFonts w:asciiTheme="minorHAnsi" w:eastAsia="Calibri" w:hAnsiTheme="minorHAnsi"/>
          <w:sz w:val="20"/>
        </w:rPr>
        <w:t xml:space="preserve">) que todo conflicto relativo a la presente </w:t>
      </w:r>
      <w:r>
        <w:rPr>
          <w:rFonts w:asciiTheme="minorHAnsi" w:eastAsia="Calibri" w:hAnsiTheme="minorHAnsi" w:cstheme="minorHAnsi"/>
          <w:sz w:val="20"/>
          <w:szCs w:val="20"/>
        </w:rPr>
        <w:t>Orden</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xml:space="preserve"> y los derechos y obligaciones emergentes de la misma, será resuelto en forma definitiva por el Tribunal de Arbitraje General de la BCBA, o aquél que en el futuro lo reemplace, por las reglas del arbitraje de derecho. Sin perjuicio de ello, en concordancia con lo previsto en el artículo 46 de la Ley </w:t>
      </w:r>
      <w:proofErr w:type="spellStart"/>
      <w:r w:rsidRPr="00E72D98">
        <w:rPr>
          <w:rFonts w:asciiTheme="minorHAnsi" w:eastAsia="Calibri" w:hAnsiTheme="minorHAnsi"/>
          <w:sz w:val="20"/>
        </w:rPr>
        <w:t>N°</w:t>
      </w:r>
      <w:proofErr w:type="spellEnd"/>
      <w:r w:rsidRPr="00E72D98">
        <w:rPr>
          <w:rFonts w:asciiTheme="minorHAnsi" w:eastAsia="Calibri" w:hAnsiTheme="minorHAnsi"/>
          <w:sz w:val="20"/>
        </w:rPr>
        <w:t xml:space="preserve"> 26.831 de Mercado de Capitales y sus modificatorias y complementarias, los accionistas e inversores podrán optar por acudir a los tribunales judiciales competentes; (</w:t>
      </w:r>
      <w:proofErr w:type="spellStart"/>
      <w:r w:rsidRPr="00E72D98">
        <w:rPr>
          <w:rFonts w:asciiTheme="minorHAnsi" w:eastAsia="Calibri" w:hAnsiTheme="minorHAnsi"/>
          <w:sz w:val="20"/>
        </w:rPr>
        <w:t>ix</w:t>
      </w:r>
      <w:proofErr w:type="spellEnd"/>
      <w:r w:rsidRPr="00E72D98">
        <w:rPr>
          <w:rFonts w:asciiTheme="minorHAnsi" w:eastAsia="Calibri" w:hAnsiTheme="minorHAnsi"/>
          <w:sz w:val="20"/>
        </w:rPr>
        <w:t xml:space="preserve">) que la </w:t>
      </w:r>
      <w:r>
        <w:rPr>
          <w:rFonts w:asciiTheme="minorHAnsi" w:eastAsia="Calibri" w:hAnsiTheme="minorHAnsi" w:cstheme="minorHAnsi"/>
          <w:sz w:val="20"/>
          <w:szCs w:val="20"/>
        </w:rPr>
        <w:t>Orden</w:t>
      </w:r>
      <w:r w:rsidRPr="00E72D98">
        <w:rPr>
          <w:rFonts w:asciiTheme="minorHAnsi" w:eastAsia="Calibri" w:hAnsiTheme="minorHAnsi"/>
          <w:sz w:val="20"/>
        </w:rPr>
        <w:t xml:space="preserve"> de </w:t>
      </w:r>
      <w:r>
        <w:rPr>
          <w:rFonts w:asciiTheme="minorHAnsi" w:eastAsia="Calibri" w:hAnsiTheme="minorHAnsi" w:cstheme="minorHAnsi"/>
          <w:sz w:val="20"/>
          <w:szCs w:val="20"/>
        </w:rPr>
        <w:t>Suscripción</w:t>
      </w:r>
      <w:r w:rsidRPr="00E72D98">
        <w:rPr>
          <w:rFonts w:asciiTheme="minorHAnsi" w:eastAsia="Calibri" w:hAnsiTheme="minorHAnsi"/>
          <w:sz w:val="20"/>
        </w:rPr>
        <w:t xml:space="preserve"> constituye una solicitud de suscripción de las Obligaciones Negociables, sin necesidad de ser ratificada, y, por lo tanto, el Inversor renuncia a su facultad de revocación, ratificación o de retirar la misma (salvo en el caso de suspensión y/o prórroga del Período de </w:t>
      </w:r>
      <w:r>
        <w:rPr>
          <w:rFonts w:asciiTheme="minorHAnsi" w:eastAsia="Calibri" w:hAnsiTheme="minorHAnsi" w:cstheme="minorHAnsi"/>
          <w:sz w:val="20"/>
          <w:szCs w:val="20"/>
        </w:rPr>
        <w:t xml:space="preserve">Licitación Pública, en cuyo caso la misma podrá ser desistida); (x) que no se encuentra radicado en jurisdicciones que pertenezcan al listado de jurisdicciones no cooperantes a los fines de la transparencia fiscal, en los términos del artículo 24 del Anexo integrante del Decreto </w:t>
      </w:r>
      <w:proofErr w:type="spellStart"/>
      <w:r>
        <w:rPr>
          <w:rFonts w:asciiTheme="minorHAnsi" w:eastAsia="Calibri" w:hAnsiTheme="minorHAnsi" w:cstheme="minorHAnsi"/>
          <w:sz w:val="20"/>
          <w:szCs w:val="20"/>
        </w:rPr>
        <w:t>N°</w:t>
      </w:r>
      <w:proofErr w:type="spellEnd"/>
      <w:r>
        <w:rPr>
          <w:rFonts w:asciiTheme="minorHAnsi" w:eastAsia="Calibri" w:hAnsiTheme="minorHAnsi" w:cstheme="minorHAnsi"/>
          <w:sz w:val="20"/>
          <w:szCs w:val="20"/>
        </w:rPr>
        <w:t xml:space="preserve"> 862/2019, o el que en el futuro lo reemplace, ni en jurisdicciones consideradas de Alto Riesgo por el GAFI, y no utiliza cuentas pertenecientes a entidades financieras radicadas en dichas jurisdicciones a efectos de realizar la suscripción de las Obligaciones Negociables; (xi) que acepta cumplir con todos los actos relativos a la integración de las Obligaciones Negociables Clase L, según corresponda, en un todo de acuerdo con la normativa del BCRA aplicable en materia de cambios y la normativa de la CNV aplicable para operaciones de compra venta de valores negociables; y (</w:t>
      </w:r>
      <w:proofErr w:type="spellStart"/>
      <w:r>
        <w:rPr>
          <w:rFonts w:asciiTheme="minorHAnsi" w:eastAsia="Calibri" w:hAnsiTheme="minorHAnsi" w:cstheme="minorHAnsi"/>
          <w:sz w:val="20"/>
          <w:szCs w:val="20"/>
        </w:rPr>
        <w:t>xii</w:t>
      </w:r>
      <w:proofErr w:type="spellEnd"/>
      <w:r>
        <w:rPr>
          <w:rFonts w:asciiTheme="minorHAnsi" w:eastAsia="Calibri" w:hAnsiTheme="minorHAnsi" w:cstheme="minorHAnsi"/>
          <w:sz w:val="20"/>
          <w:szCs w:val="20"/>
        </w:rPr>
        <w:t>) que conoce y acepta que las Obligaciones Negociables adjudicadas no integradas serán canceladas con posterioridad a la Fecha de Emisión y Liquidación.</w:t>
      </w:r>
    </w:p>
    <w:p w14:paraId="528EAC5E" w14:textId="77777777" w:rsidR="00C04B93" w:rsidRPr="00AB6B54" w:rsidRDefault="00C04B93" w:rsidP="00C04B93">
      <w:pPr>
        <w:jc w:val="both"/>
        <w:rPr>
          <w:rFonts w:asciiTheme="minorHAnsi" w:eastAsia="Calibri" w:hAnsiTheme="minorHAnsi" w:cstheme="minorHAnsi"/>
          <w:sz w:val="20"/>
          <w:szCs w:val="20"/>
        </w:rPr>
      </w:pPr>
      <w:r w:rsidRPr="00AB6B54">
        <w:rPr>
          <w:rFonts w:asciiTheme="minorHAnsi" w:eastAsia="Calibri" w:hAnsiTheme="minorHAnsi" w:cstheme="minorHAnsi"/>
          <w:sz w:val="20"/>
          <w:szCs w:val="20"/>
        </w:rPr>
        <w:t xml:space="preserve"> </w:t>
      </w:r>
    </w:p>
    <w:p w14:paraId="467772BB" w14:textId="77777777" w:rsidR="00C04B93" w:rsidRPr="00AB6B54" w:rsidRDefault="00C04B93" w:rsidP="00C04B93">
      <w:pPr>
        <w:jc w:val="both"/>
        <w:rPr>
          <w:rFonts w:asciiTheme="minorHAnsi" w:eastAsia="Calibri" w:hAnsiTheme="minorHAnsi" w:cstheme="minorHAnsi"/>
          <w:b/>
          <w:sz w:val="20"/>
          <w:szCs w:val="20"/>
        </w:rPr>
      </w:pPr>
    </w:p>
    <w:p w14:paraId="6F794EF1" w14:textId="77777777" w:rsidR="00C04B93" w:rsidRPr="00B84E1A" w:rsidRDefault="00C04B93" w:rsidP="00C04B93">
      <w:pPr>
        <w:pStyle w:val="Prrafodelista"/>
        <w:widowControl w:val="0"/>
        <w:numPr>
          <w:ilvl w:val="0"/>
          <w:numId w:val="1"/>
        </w:numPr>
        <w:ind w:right="-36"/>
        <w:contextualSpacing w:val="0"/>
        <w:jc w:val="both"/>
        <w:rPr>
          <w:rFonts w:asciiTheme="minorHAnsi" w:hAnsiTheme="minorHAnsi" w:cstheme="minorHAnsi"/>
          <w:b/>
          <w:sz w:val="20"/>
          <w:szCs w:val="20"/>
        </w:rPr>
      </w:pPr>
      <w:r w:rsidRPr="00B84E1A">
        <w:rPr>
          <w:rFonts w:asciiTheme="minorHAnsi" w:hAnsiTheme="minorHAnsi" w:cstheme="minorHAnsi"/>
          <w:b/>
          <w:sz w:val="20"/>
          <w:szCs w:val="20"/>
        </w:rPr>
        <w:t>Seleccionar la categoría de Inversor (indicar con una X la opción que corresponda)</w:t>
      </w:r>
    </w:p>
    <w:p w14:paraId="1BD659AE" w14:textId="77777777" w:rsidR="00C04B93" w:rsidRPr="00AB6B54" w:rsidRDefault="00C04B93" w:rsidP="00C04B93">
      <w:pPr>
        <w:widowControl w:val="0"/>
        <w:ind w:right="-36"/>
        <w:jc w:val="both"/>
        <w:rPr>
          <w:rFonts w:asciiTheme="minorHAnsi" w:hAnsiTheme="minorHAnsi" w:cstheme="minorHAnsi"/>
          <w:sz w:val="20"/>
          <w:szCs w:val="20"/>
          <w:u w:val="single"/>
        </w:rPr>
      </w:pPr>
    </w:p>
    <w:p w14:paraId="093B31DE" w14:textId="77777777" w:rsidR="00C04B93" w:rsidRPr="00AB6B54" w:rsidRDefault="00C04B93" w:rsidP="00C04B93">
      <w:pPr>
        <w:spacing w:after="120"/>
        <w:ind w:right="-36"/>
        <w:rPr>
          <w:rFonts w:asciiTheme="minorHAnsi" w:hAnsiTheme="minorHAnsi" w:cstheme="minorHAnsi"/>
          <w:sz w:val="20"/>
          <w:szCs w:val="20"/>
        </w:rPr>
      </w:pPr>
      <w:r w:rsidRPr="00AB6B54">
        <w:rPr>
          <w:rFonts w:asciiTheme="minorHAnsi" w:hAnsiTheme="minorHAnsi" w:cstheme="minorHAnsi"/>
          <w:sz w:val="20"/>
          <w:szCs w:val="20"/>
        </w:rPr>
        <w:t xml:space="preserve">(1) inversor local: </w:t>
      </w:r>
    </w:p>
    <w:p w14:paraId="3EF4DA54"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  ) Compañía de Seguros.</w:t>
      </w:r>
    </w:p>
    <w:p w14:paraId="5268A9B2"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  ) Fondo Común de Inversión.</w:t>
      </w:r>
    </w:p>
    <w:p w14:paraId="1443020F"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  ) Entidad financiera para cartera propia.</w:t>
      </w:r>
    </w:p>
    <w:p w14:paraId="69B2BE9B"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  ) Agentes de liquidación y compensación y/o agentes de negociación y/o Agentes de A3 Mercados.</w:t>
      </w:r>
    </w:p>
    <w:p w14:paraId="09473341"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  ) Organismos públicos nacionales, incluyendo, sin limitación, la Administración Nacional de la Seguridad Social</w:t>
      </w:r>
    </w:p>
    <w:p w14:paraId="0B85EA28"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 xml:space="preserve">(  ) Otro inversor institucional. </w:t>
      </w:r>
    </w:p>
    <w:p w14:paraId="2B74B415"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  ) Cajas de previsión social, colegios o consejos profesionales, y corporativos.</w:t>
      </w:r>
    </w:p>
    <w:p w14:paraId="372D6245"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  ) Inversor Minorista.</w:t>
      </w:r>
    </w:p>
    <w:p w14:paraId="631FC655" w14:textId="77777777" w:rsidR="00C04B93" w:rsidRPr="00AB6B54" w:rsidRDefault="00C04B93" w:rsidP="00C04B93">
      <w:pPr>
        <w:spacing w:after="120"/>
        <w:ind w:right="-36"/>
        <w:rPr>
          <w:rFonts w:asciiTheme="minorHAnsi" w:hAnsiTheme="minorHAnsi" w:cstheme="minorHAnsi"/>
          <w:sz w:val="20"/>
          <w:szCs w:val="20"/>
        </w:rPr>
      </w:pPr>
    </w:p>
    <w:p w14:paraId="55089FD7" w14:textId="77777777" w:rsidR="00C04B93" w:rsidRPr="00AB6B54" w:rsidRDefault="00C04B93" w:rsidP="00C04B93">
      <w:pPr>
        <w:spacing w:after="120"/>
        <w:ind w:right="-36"/>
        <w:rPr>
          <w:rFonts w:asciiTheme="minorHAnsi" w:hAnsiTheme="minorHAnsi" w:cstheme="minorHAnsi"/>
          <w:sz w:val="20"/>
          <w:szCs w:val="20"/>
        </w:rPr>
      </w:pPr>
      <w:r w:rsidRPr="00AB6B54">
        <w:rPr>
          <w:rFonts w:asciiTheme="minorHAnsi" w:hAnsiTheme="minorHAnsi" w:cstheme="minorHAnsi"/>
          <w:sz w:val="20"/>
          <w:szCs w:val="20"/>
        </w:rPr>
        <w:t xml:space="preserve">(2) inversor extranjero: </w:t>
      </w:r>
    </w:p>
    <w:p w14:paraId="46E8E9B3" w14:textId="77777777" w:rsidR="00C04B93" w:rsidRPr="00AB6B54" w:rsidRDefault="00C04B93" w:rsidP="00C04B93">
      <w:pPr>
        <w:ind w:right="-36"/>
        <w:rPr>
          <w:rFonts w:asciiTheme="minorHAnsi" w:hAnsiTheme="minorHAnsi" w:cstheme="minorHAnsi"/>
          <w:sz w:val="20"/>
          <w:szCs w:val="20"/>
        </w:rPr>
      </w:pPr>
      <w:r w:rsidRPr="00AB6B54">
        <w:rPr>
          <w:rFonts w:asciiTheme="minorHAnsi" w:hAnsiTheme="minorHAnsi" w:cstheme="minorHAnsi"/>
          <w:sz w:val="20"/>
          <w:szCs w:val="20"/>
        </w:rPr>
        <w:t>(  ) Inversor institucional extranjero.</w:t>
      </w:r>
    </w:p>
    <w:p w14:paraId="705A55C3" w14:textId="77777777" w:rsidR="00C04B93" w:rsidRPr="00AB6B54" w:rsidRDefault="00C04B93" w:rsidP="00C04B93">
      <w:pPr>
        <w:ind w:right="-36"/>
        <w:rPr>
          <w:rFonts w:asciiTheme="minorHAnsi" w:hAnsiTheme="minorHAnsi" w:cstheme="minorHAnsi"/>
          <w:sz w:val="20"/>
          <w:szCs w:val="20"/>
        </w:rPr>
      </w:pPr>
      <w:r w:rsidRPr="00AB6B54">
        <w:rPr>
          <w:rFonts w:asciiTheme="minorHAnsi" w:hAnsiTheme="minorHAnsi" w:cstheme="minorHAnsi"/>
          <w:sz w:val="20"/>
          <w:szCs w:val="20"/>
        </w:rPr>
        <w:t>(  ) Persona humana extranjera.</w:t>
      </w:r>
    </w:p>
    <w:p w14:paraId="5498FC98" w14:textId="77777777" w:rsidR="00C04B93" w:rsidRPr="00AB6B54" w:rsidRDefault="00C04B93" w:rsidP="00C04B93">
      <w:pPr>
        <w:ind w:right="-36"/>
        <w:rPr>
          <w:rFonts w:asciiTheme="minorHAnsi" w:hAnsiTheme="minorHAnsi" w:cstheme="minorHAnsi"/>
          <w:sz w:val="20"/>
          <w:szCs w:val="20"/>
        </w:rPr>
      </w:pPr>
      <w:r w:rsidRPr="00AB6B54">
        <w:rPr>
          <w:rFonts w:asciiTheme="minorHAnsi" w:hAnsiTheme="minorHAnsi" w:cstheme="minorHAnsi"/>
          <w:sz w:val="20"/>
          <w:szCs w:val="20"/>
        </w:rPr>
        <w:t>(  ) Otro tipo de inversor extranjero.</w:t>
      </w:r>
    </w:p>
    <w:p w14:paraId="0C1F3CA5" w14:textId="77777777" w:rsidR="00C04B93" w:rsidRPr="00AB6B54" w:rsidRDefault="00C04B93" w:rsidP="00C04B93">
      <w:pPr>
        <w:widowControl w:val="0"/>
        <w:ind w:right="-36"/>
        <w:jc w:val="both"/>
        <w:rPr>
          <w:rFonts w:asciiTheme="minorHAnsi" w:hAnsiTheme="minorHAnsi" w:cstheme="minorHAnsi"/>
          <w:sz w:val="20"/>
          <w:szCs w:val="20"/>
          <w:highlight w:val="yellow"/>
          <w:u w:val="single"/>
        </w:rPr>
      </w:pPr>
    </w:p>
    <w:p w14:paraId="25664F39" w14:textId="77777777" w:rsidR="00C04B93" w:rsidRPr="00AB6B54" w:rsidRDefault="00C04B93" w:rsidP="00C04B93">
      <w:pPr>
        <w:widowControl w:val="0"/>
        <w:ind w:right="-36"/>
        <w:jc w:val="both"/>
        <w:rPr>
          <w:rFonts w:asciiTheme="minorHAnsi" w:hAnsiTheme="minorHAnsi" w:cstheme="minorHAnsi"/>
          <w:sz w:val="20"/>
          <w:szCs w:val="20"/>
          <w:highlight w:val="yellow"/>
        </w:rPr>
      </w:pPr>
    </w:p>
    <w:p w14:paraId="60FA09E8" w14:textId="77777777" w:rsidR="00C04B93" w:rsidRPr="00AB6B54" w:rsidRDefault="00C04B93" w:rsidP="00C04B93">
      <w:pPr>
        <w:widowControl w:val="0"/>
        <w:ind w:right="-36"/>
        <w:jc w:val="both"/>
        <w:rPr>
          <w:rFonts w:asciiTheme="minorHAnsi" w:hAnsiTheme="minorHAnsi" w:cstheme="minorHAnsi"/>
          <w:sz w:val="20"/>
          <w:szCs w:val="20"/>
        </w:rPr>
      </w:pPr>
      <w:r w:rsidRPr="00AB6B54">
        <w:rPr>
          <w:rFonts w:asciiTheme="minorHAnsi" w:hAnsiTheme="minorHAnsi" w:cstheme="minorHAnsi"/>
          <w:sz w:val="20"/>
          <w:szCs w:val="20"/>
        </w:rPr>
        <w:t>Sin otro particular, saludamos a ustedes muy atentamente.</w:t>
      </w:r>
    </w:p>
    <w:p w14:paraId="735AFF11" w14:textId="77777777" w:rsidR="00C04B93" w:rsidRPr="00AB6B54" w:rsidRDefault="00C04B93" w:rsidP="00C04B93">
      <w:pPr>
        <w:widowControl w:val="0"/>
        <w:ind w:right="-36"/>
        <w:jc w:val="both"/>
        <w:rPr>
          <w:rFonts w:asciiTheme="minorHAnsi" w:hAnsiTheme="minorHAnsi" w:cstheme="minorHAnsi"/>
          <w:sz w:val="20"/>
          <w:szCs w:val="20"/>
          <w:highlight w:val="yellow"/>
          <w:u w:val="single"/>
        </w:rPr>
      </w:pPr>
    </w:p>
    <w:p w14:paraId="04F81DB3" w14:textId="77777777" w:rsidR="00C04B93" w:rsidRPr="00AB6B54" w:rsidRDefault="00C04B93" w:rsidP="00C04B93">
      <w:pPr>
        <w:widowControl w:val="0"/>
        <w:ind w:right="-36"/>
        <w:jc w:val="both"/>
        <w:rPr>
          <w:rFonts w:asciiTheme="minorHAnsi" w:hAnsiTheme="minorHAnsi" w:cstheme="minorHAnsi"/>
          <w:sz w:val="20"/>
          <w:szCs w:val="20"/>
        </w:rPr>
      </w:pPr>
    </w:p>
    <w:p w14:paraId="3D980C82" w14:textId="77777777" w:rsidR="00C04B93" w:rsidRPr="00AB6B54" w:rsidRDefault="00C04B93" w:rsidP="00C04B93">
      <w:pPr>
        <w:widowControl w:val="0"/>
        <w:ind w:right="-36"/>
        <w:rPr>
          <w:rFonts w:asciiTheme="minorHAnsi" w:hAnsiTheme="minorHAnsi" w:cstheme="minorHAnsi"/>
          <w:sz w:val="20"/>
          <w:szCs w:val="20"/>
        </w:rPr>
      </w:pPr>
    </w:p>
    <w:p w14:paraId="0D249EB6" w14:textId="77777777" w:rsidR="00C04B93" w:rsidRPr="00AB6B54" w:rsidRDefault="00C04B93" w:rsidP="00C04B93">
      <w:pPr>
        <w:widowControl w:val="0"/>
        <w:spacing w:after="120"/>
        <w:ind w:right="-36"/>
        <w:jc w:val="both"/>
        <w:rPr>
          <w:rFonts w:asciiTheme="minorHAnsi" w:hAnsiTheme="minorHAnsi" w:cstheme="minorHAnsi"/>
          <w:color w:val="000000"/>
          <w:sz w:val="20"/>
          <w:szCs w:val="20"/>
        </w:rPr>
      </w:pPr>
    </w:p>
    <w:p w14:paraId="50E96A88" w14:textId="77777777" w:rsidR="00C04B93" w:rsidRPr="00AB6B54" w:rsidRDefault="00C04B93" w:rsidP="00C04B93">
      <w:pPr>
        <w:widowControl w:val="0"/>
        <w:spacing w:line="360" w:lineRule="auto"/>
        <w:ind w:right="-36"/>
        <w:jc w:val="both"/>
        <w:rPr>
          <w:rFonts w:asciiTheme="minorHAnsi" w:hAnsiTheme="minorHAnsi" w:cstheme="minorHAnsi"/>
          <w:smallCaps/>
          <w:color w:val="000000"/>
          <w:sz w:val="20"/>
          <w:szCs w:val="20"/>
        </w:rPr>
      </w:pPr>
      <w:r w:rsidRPr="00AB6B54">
        <w:rPr>
          <w:rFonts w:asciiTheme="minorHAnsi" w:hAnsiTheme="minorHAnsi" w:cstheme="minorHAnsi"/>
          <w:smallCaps/>
          <w:color w:val="000000"/>
          <w:sz w:val="20"/>
          <w:szCs w:val="20"/>
        </w:rPr>
        <w:t>Firma: ____________________________</w:t>
      </w:r>
    </w:p>
    <w:p w14:paraId="25A8C903" w14:textId="77777777" w:rsidR="00C04B93" w:rsidRPr="00AB6B54" w:rsidRDefault="00C04B93" w:rsidP="00C04B93">
      <w:pPr>
        <w:widowControl w:val="0"/>
        <w:spacing w:line="360" w:lineRule="auto"/>
        <w:ind w:right="-36"/>
        <w:jc w:val="both"/>
        <w:rPr>
          <w:rFonts w:asciiTheme="minorHAnsi" w:hAnsiTheme="minorHAnsi" w:cstheme="minorHAnsi"/>
          <w:smallCaps/>
          <w:color w:val="000000"/>
          <w:sz w:val="20"/>
          <w:szCs w:val="20"/>
        </w:rPr>
      </w:pPr>
      <w:r w:rsidRPr="00AB6B54">
        <w:rPr>
          <w:rFonts w:asciiTheme="minorHAnsi" w:hAnsiTheme="minorHAnsi" w:cstheme="minorHAnsi"/>
          <w:smallCaps/>
          <w:color w:val="000000"/>
          <w:sz w:val="20"/>
          <w:szCs w:val="20"/>
        </w:rPr>
        <w:t>Aclaración: ______________________</w:t>
      </w:r>
    </w:p>
    <w:p w14:paraId="57343741" w14:textId="77777777" w:rsidR="00C04B93" w:rsidRPr="00AB6B54" w:rsidRDefault="00C04B93" w:rsidP="00C04B93">
      <w:pPr>
        <w:widowControl w:val="0"/>
        <w:spacing w:line="360" w:lineRule="auto"/>
        <w:ind w:right="-36"/>
        <w:jc w:val="both"/>
        <w:rPr>
          <w:rFonts w:asciiTheme="minorHAnsi" w:hAnsiTheme="minorHAnsi" w:cstheme="minorHAnsi"/>
          <w:smallCaps/>
          <w:color w:val="000000"/>
          <w:sz w:val="20"/>
          <w:szCs w:val="20"/>
        </w:rPr>
      </w:pPr>
      <w:r w:rsidRPr="00AB6B54">
        <w:rPr>
          <w:rFonts w:asciiTheme="minorHAnsi" w:hAnsiTheme="minorHAnsi" w:cstheme="minorHAnsi"/>
          <w:smallCaps/>
          <w:color w:val="000000"/>
          <w:sz w:val="20"/>
          <w:szCs w:val="20"/>
        </w:rPr>
        <w:t>Carácter: ________________________</w:t>
      </w:r>
    </w:p>
    <w:p w14:paraId="0938972D" w14:textId="77777777" w:rsidR="00C04B93" w:rsidRPr="00AB6B54" w:rsidRDefault="00C04B93" w:rsidP="00C04B93">
      <w:pPr>
        <w:widowControl w:val="0"/>
        <w:ind w:right="-36"/>
        <w:jc w:val="both"/>
        <w:rPr>
          <w:rFonts w:asciiTheme="minorHAnsi" w:hAnsiTheme="minorHAnsi" w:cstheme="minorHAnsi"/>
          <w:b/>
          <w:sz w:val="20"/>
          <w:szCs w:val="20"/>
        </w:rPr>
      </w:pPr>
      <w:r w:rsidRPr="00AB6B54">
        <w:rPr>
          <w:rFonts w:asciiTheme="minorHAnsi" w:hAnsiTheme="minorHAnsi" w:cstheme="minorHAnsi"/>
          <w:smallCaps/>
          <w:color w:val="000000"/>
          <w:sz w:val="20"/>
          <w:szCs w:val="20"/>
        </w:rPr>
        <w:t xml:space="preserve">C.U.I.T. / Documento </w:t>
      </w:r>
      <w:proofErr w:type="spellStart"/>
      <w:r w:rsidRPr="00AB6B54">
        <w:rPr>
          <w:rFonts w:asciiTheme="minorHAnsi" w:hAnsiTheme="minorHAnsi" w:cstheme="minorHAnsi"/>
          <w:smallCaps/>
          <w:color w:val="000000"/>
          <w:sz w:val="20"/>
          <w:szCs w:val="20"/>
        </w:rPr>
        <w:t>N°</w:t>
      </w:r>
      <w:proofErr w:type="spellEnd"/>
      <w:r w:rsidRPr="00AB6B54">
        <w:rPr>
          <w:rFonts w:asciiTheme="minorHAnsi" w:hAnsiTheme="minorHAnsi" w:cstheme="minorHAnsi"/>
          <w:smallCaps/>
          <w:color w:val="000000"/>
          <w:sz w:val="20"/>
          <w:szCs w:val="20"/>
        </w:rPr>
        <w:t>: ___________</w:t>
      </w:r>
    </w:p>
    <w:p w14:paraId="5B0C55AA" w14:textId="77777777" w:rsidR="00C04B93" w:rsidRPr="00AB6B54" w:rsidRDefault="00C04B93" w:rsidP="00C04B93">
      <w:pPr>
        <w:widowControl w:val="0"/>
        <w:ind w:right="-36"/>
        <w:jc w:val="both"/>
        <w:rPr>
          <w:rFonts w:asciiTheme="minorHAnsi" w:hAnsiTheme="minorHAnsi" w:cstheme="minorHAnsi"/>
          <w:b/>
          <w:sz w:val="20"/>
          <w:szCs w:val="20"/>
        </w:rPr>
      </w:pPr>
    </w:p>
    <w:p w14:paraId="033F3D11" w14:textId="77777777" w:rsidR="00C04B93" w:rsidRPr="00AB6B54" w:rsidRDefault="00C04B93" w:rsidP="00C04B93">
      <w:pPr>
        <w:widowControl w:val="0"/>
        <w:ind w:right="-36"/>
        <w:jc w:val="both"/>
        <w:rPr>
          <w:rFonts w:asciiTheme="minorHAnsi" w:hAnsiTheme="minorHAnsi" w:cstheme="minorHAnsi"/>
          <w:b/>
          <w:sz w:val="20"/>
          <w:szCs w:val="20"/>
        </w:rPr>
      </w:pPr>
    </w:p>
    <w:p w14:paraId="2C1674A4" w14:textId="77777777" w:rsidR="00C04B93" w:rsidRPr="00AB6B54" w:rsidRDefault="00C04B93" w:rsidP="00C04B93">
      <w:pPr>
        <w:ind w:right="-36"/>
        <w:jc w:val="both"/>
        <w:rPr>
          <w:rFonts w:asciiTheme="minorHAnsi" w:hAnsiTheme="minorHAnsi" w:cstheme="minorHAnsi"/>
          <w:sz w:val="20"/>
          <w:szCs w:val="20"/>
        </w:rPr>
      </w:pPr>
      <w:r w:rsidRPr="00AB6B54">
        <w:rPr>
          <w:rFonts w:asciiTheme="minorHAnsi" w:hAnsiTheme="minorHAnsi" w:cstheme="minorHAnsi"/>
          <w:sz w:val="20"/>
          <w:szCs w:val="20"/>
        </w:rPr>
        <w:t>[Nombre/s y Apellido/s del/de los Inversor/s “personas físicas” / Razón Social del Inversor “persona jurídica” y Nombre y Sello del Representante Legal o Apoderado/s Firmante/s. Cargo. Domicilio. Teléfono. DNI.]</w:t>
      </w:r>
      <w:r w:rsidRPr="00AB6B54">
        <w:rPr>
          <w:rFonts w:asciiTheme="minorHAnsi" w:hAnsiTheme="minorHAnsi" w:cstheme="minorHAnsi"/>
          <w:sz w:val="20"/>
          <w:szCs w:val="20"/>
          <w:vertAlign w:val="superscript"/>
        </w:rPr>
        <w:footnoteReference w:id="2"/>
      </w:r>
    </w:p>
    <w:p w14:paraId="74858BA6" w14:textId="77777777" w:rsidR="00C04B93" w:rsidRPr="00E72D98" w:rsidRDefault="00C04B93" w:rsidP="00C04B93">
      <w:pPr>
        <w:jc w:val="both"/>
        <w:rPr>
          <w:rFonts w:asciiTheme="minorHAnsi" w:eastAsia="Calibri" w:hAnsiTheme="minorHAnsi"/>
          <w:sz w:val="20"/>
        </w:rPr>
      </w:pPr>
    </w:p>
    <w:p w14:paraId="424B4881" w14:textId="77777777" w:rsidR="00C04B93" w:rsidRPr="00E72D98" w:rsidRDefault="00C04B93" w:rsidP="00C04B93">
      <w:pPr>
        <w:jc w:val="both"/>
        <w:rPr>
          <w:rFonts w:asciiTheme="minorHAnsi" w:eastAsia="Calibri" w:hAnsiTheme="minorHAnsi"/>
          <w:sz w:val="20"/>
        </w:rPr>
      </w:pPr>
    </w:p>
    <w:p w14:paraId="5D29579A" w14:textId="77777777" w:rsidR="00C04B93" w:rsidRPr="00E72D98" w:rsidRDefault="00C04B93" w:rsidP="00C04B93">
      <w:pPr>
        <w:jc w:val="both"/>
        <w:rPr>
          <w:rFonts w:asciiTheme="minorHAnsi" w:eastAsia="Calibri" w:hAnsiTheme="minorHAnsi"/>
          <w:sz w:val="20"/>
        </w:rPr>
      </w:pPr>
    </w:p>
    <w:p w14:paraId="560BB0BD" w14:textId="77777777" w:rsidR="00336714" w:rsidRPr="00425D61" w:rsidRDefault="00336714" w:rsidP="00336714">
      <w:pPr>
        <w:spacing w:after="200" w:line="276" w:lineRule="auto"/>
        <w:rPr>
          <w:rFonts w:asciiTheme="minorHAnsi" w:hAnsiTheme="minorHAnsi" w:cstheme="minorHAnsi"/>
          <w:sz w:val="22"/>
          <w:szCs w:val="22"/>
        </w:rPr>
      </w:pPr>
      <w:r w:rsidRPr="00C64898">
        <w:rPr>
          <w:bCs/>
          <w:sz w:val="22"/>
        </w:rPr>
        <w:t>EL PRESENTE FORMULARIO DE SUSCRIPCIÓN PODRÁ EMITIRSE AL COLOCADOR BANCO DE SERVICIOS Y TRANSACCIONES S.A.</w:t>
      </w:r>
      <w:r>
        <w:rPr>
          <w:bCs/>
          <w:sz w:val="22"/>
        </w:rPr>
        <w:t>U.</w:t>
      </w:r>
      <w:r w:rsidRPr="00C64898">
        <w:rPr>
          <w:bCs/>
          <w:sz w:val="22"/>
        </w:rPr>
        <w:t xml:space="preserve"> DURANTE EL PERÍODO DE </w:t>
      </w:r>
      <w:r>
        <w:rPr>
          <w:bCs/>
          <w:sz w:val="22"/>
        </w:rPr>
        <w:t>LICITACIÓN</w:t>
      </w:r>
      <w:r w:rsidRPr="00C64898">
        <w:rPr>
          <w:bCs/>
          <w:sz w:val="22"/>
        </w:rPr>
        <w:t xml:space="preserve"> (I) MEDIANTE </w:t>
      </w:r>
      <w:r>
        <w:rPr>
          <w:bCs/>
          <w:sz w:val="22"/>
        </w:rPr>
        <w:t>MAIL A MESA@BST.COM.AR</w:t>
      </w:r>
      <w:r w:rsidRPr="00C64898">
        <w:rPr>
          <w:bCs/>
          <w:sz w:val="22"/>
        </w:rPr>
        <w:t xml:space="preserve">, ATENCIÓN </w:t>
      </w:r>
      <w:r>
        <w:rPr>
          <w:bCs/>
          <w:sz w:val="22"/>
        </w:rPr>
        <w:t>PAZ SEMENTUCH, MATIAS VELOSO Y PABLO KENNY</w:t>
      </w:r>
      <w:r w:rsidRPr="00C64898">
        <w:rPr>
          <w:bCs/>
          <w:sz w:val="22"/>
        </w:rPr>
        <w:t xml:space="preserve"> DEBIENDO PRESENTAR EL ORIGINAL POSTERIORMENTE; O (II) EN MANO EN EL DOMICILIO DEL COLOCADOR SITO EN </w:t>
      </w:r>
      <w:r>
        <w:rPr>
          <w:bCs/>
          <w:sz w:val="22"/>
        </w:rPr>
        <w:t>TTE</w:t>
      </w:r>
      <w:r w:rsidRPr="00EA6D55">
        <w:rPr>
          <w:bCs/>
          <w:sz w:val="22"/>
        </w:rPr>
        <w:t xml:space="preserve">. </w:t>
      </w:r>
      <w:r>
        <w:rPr>
          <w:bCs/>
          <w:sz w:val="22"/>
        </w:rPr>
        <w:t>GRAL</w:t>
      </w:r>
      <w:r w:rsidRPr="00EA6D55">
        <w:rPr>
          <w:bCs/>
          <w:sz w:val="22"/>
        </w:rPr>
        <w:t xml:space="preserve">. JUAN DOMINGO PERÓN 646 PISO </w:t>
      </w:r>
      <w:r>
        <w:rPr>
          <w:bCs/>
          <w:sz w:val="22"/>
        </w:rPr>
        <w:t>4</w:t>
      </w:r>
      <w:r w:rsidRPr="00EA6D55">
        <w:rPr>
          <w:bCs/>
          <w:sz w:val="22"/>
        </w:rPr>
        <w:t>,</w:t>
      </w:r>
      <w:r w:rsidRPr="00C64898">
        <w:rPr>
          <w:bCs/>
          <w:sz w:val="22"/>
        </w:rPr>
        <w:t xml:space="preserve"> CIUDAD AUTÓNOMA DE BUENOS AIRES, REPÚBLICA ARGENTINA, EN EL HORARIO DE </w:t>
      </w:r>
      <w:smartTag w:uri="urn:schemas-microsoft-com:office:smarttags" w:element="metricconverter">
        <w:smartTagPr>
          <w:attr w:name="ProductID" w:val="10 A"/>
        </w:smartTagPr>
        <w:r w:rsidRPr="00C64898">
          <w:rPr>
            <w:bCs/>
            <w:sz w:val="22"/>
          </w:rPr>
          <w:t>10 A</w:t>
        </w:r>
      </w:smartTag>
      <w:r w:rsidRPr="00C64898">
        <w:rPr>
          <w:bCs/>
          <w:sz w:val="22"/>
        </w:rPr>
        <w:t xml:space="preserve"> 16 HORAS. EL EJEMPLAR ORIGINAL DEBERÁ ESTAR DEBIDAMENTE FIRMADO</w:t>
      </w:r>
    </w:p>
    <w:p w14:paraId="5FE57AE3" w14:textId="77777777" w:rsidR="00C04B93" w:rsidRPr="00E72D98" w:rsidRDefault="00C04B93" w:rsidP="00C04B93">
      <w:pPr>
        <w:rPr>
          <w:rFonts w:asciiTheme="minorHAnsi" w:eastAsia="Calibri" w:hAnsiTheme="minorHAnsi"/>
          <w:sz w:val="20"/>
        </w:rPr>
      </w:pPr>
    </w:p>
    <w:p w14:paraId="01A84F8E" w14:textId="77777777" w:rsidR="00C04B93" w:rsidRPr="00E72D98" w:rsidRDefault="00C04B93" w:rsidP="00C04B93">
      <w:pPr>
        <w:rPr>
          <w:rFonts w:asciiTheme="minorHAnsi" w:eastAsia="Calibri" w:hAnsiTheme="minorHAnsi"/>
          <w:sz w:val="20"/>
        </w:rPr>
      </w:pPr>
    </w:p>
    <w:p w14:paraId="31009C15" w14:textId="77777777" w:rsidR="00C04B93" w:rsidRPr="00E72D98" w:rsidRDefault="00C04B93" w:rsidP="00C04B93">
      <w:pPr>
        <w:rPr>
          <w:rFonts w:asciiTheme="minorHAnsi" w:eastAsia="Calibri" w:hAnsiTheme="minorHAnsi"/>
          <w:sz w:val="20"/>
        </w:rPr>
      </w:pPr>
    </w:p>
    <w:p w14:paraId="13D423CB" w14:textId="77777777" w:rsidR="00C804EC" w:rsidRDefault="00C804EC"/>
    <w:sectPr w:rsidR="00C804EC" w:rsidSect="00C04B93">
      <w:headerReference w:type="default" r:id="rId13"/>
      <w:footerReference w:type="even" r:id="rId14"/>
      <w:footerReference w:type="default" r:id="rId15"/>
      <w:footerReference w:type="first" r:id="rId16"/>
      <w:pgSz w:w="11906" w:h="16838"/>
      <w:pgMar w:top="1418" w:right="1644" w:bottom="1418"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0C743" w14:textId="77777777" w:rsidR="00772FE7" w:rsidRDefault="00772FE7" w:rsidP="00C04B93">
      <w:r>
        <w:separator/>
      </w:r>
    </w:p>
  </w:endnote>
  <w:endnote w:type="continuationSeparator" w:id="0">
    <w:p w14:paraId="1DEBE85E" w14:textId="77777777" w:rsidR="00772FE7" w:rsidRDefault="00772FE7" w:rsidP="00C0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A85E" w14:textId="77777777" w:rsidR="00C04B93" w:rsidRDefault="00C04B93">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end"/>
    </w:r>
  </w:p>
  <w:p w14:paraId="2858E914" w14:textId="77777777" w:rsidR="00C04B93" w:rsidRDefault="00C04B93">
    <w:pPr>
      <w:pBdr>
        <w:top w:val="nil"/>
        <w:left w:val="nil"/>
        <w:bottom w:val="nil"/>
        <w:right w:val="nil"/>
        <w:between w:val="nil"/>
      </w:pBdr>
      <w:tabs>
        <w:tab w:val="center" w:pos="4419"/>
        <w:tab w:val="right" w:pos="8838"/>
      </w:tabs>
      <w:rPr>
        <w:color w:val="000000"/>
      </w:rPr>
    </w:pPr>
  </w:p>
  <w:p w14:paraId="75F27051" w14:textId="77777777" w:rsidR="00C04B93" w:rsidRDefault="00C04B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6357" w14:textId="77777777" w:rsidR="00C04B93" w:rsidRPr="00FB4E78" w:rsidRDefault="00C04B93">
    <w:pPr>
      <w:pBdr>
        <w:top w:val="nil"/>
        <w:left w:val="nil"/>
        <w:bottom w:val="nil"/>
        <w:right w:val="nil"/>
        <w:between w:val="nil"/>
      </w:pBdr>
      <w:tabs>
        <w:tab w:val="center" w:pos="4419"/>
        <w:tab w:val="right" w:pos="8838"/>
      </w:tabs>
      <w:jc w:val="center"/>
      <w:rPr>
        <w:rFonts w:asciiTheme="minorHAnsi" w:hAnsiTheme="minorHAnsi"/>
        <w:color w:val="000000"/>
        <w:sz w:val="20"/>
      </w:rPr>
    </w:pPr>
    <w:r w:rsidRPr="00FB4E78">
      <w:rPr>
        <w:rFonts w:asciiTheme="minorHAnsi" w:eastAsia="Garamond" w:hAnsiTheme="minorHAnsi"/>
        <w:color w:val="000000"/>
        <w:sz w:val="20"/>
      </w:rPr>
      <w:t xml:space="preserve">- </w:t>
    </w:r>
    <w:r w:rsidRPr="00FB4E78">
      <w:rPr>
        <w:rFonts w:asciiTheme="minorHAnsi" w:eastAsia="Garamond" w:hAnsiTheme="minorHAnsi"/>
        <w:color w:val="000000"/>
        <w:sz w:val="20"/>
      </w:rPr>
      <w:fldChar w:fldCharType="begin"/>
    </w:r>
    <w:r w:rsidRPr="00FB4E78">
      <w:rPr>
        <w:rFonts w:asciiTheme="minorHAnsi" w:eastAsia="Garamond" w:hAnsiTheme="minorHAnsi"/>
        <w:color w:val="000000"/>
        <w:sz w:val="20"/>
      </w:rPr>
      <w:instrText>PAGE</w:instrText>
    </w:r>
    <w:r w:rsidRPr="00FB4E78">
      <w:rPr>
        <w:rFonts w:asciiTheme="minorHAnsi" w:eastAsia="Garamond" w:hAnsiTheme="minorHAnsi"/>
        <w:color w:val="000000"/>
        <w:sz w:val="20"/>
      </w:rPr>
      <w:fldChar w:fldCharType="separate"/>
    </w:r>
    <w:r w:rsidRPr="00B01AA9">
      <w:rPr>
        <w:rFonts w:asciiTheme="minorHAnsi" w:eastAsia="Garamond" w:hAnsiTheme="minorHAnsi" w:cstheme="minorHAnsi"/>
        <w:noProof/>
        <w:color w:val="000000"/>
        <w:sz w:val="20"/>
        <w:szCs w:val="20"/>
      </w:rPr>
      <w:t>28</w:t>
    </w:r>
    <w:r w:rsidRPr="00FB4E78">
      <w:rPr>
        <w:rFonts w:asciiTheme="minorHAnsi" w:eastAsia="Garamond" w:hAnsiTheme="minorHAnsi"/>
        <w:color w:val="000000"/>
        <w:sz w:val="20"/>
      </w:rPr>
      <w:fldChar w:fldCharType="end"/>
    </w:r>
    <w:r w:rsidRPr="00FB4E78">
      <w:rPr>
        <w:rFonts w:asciiTheme="minorHAnsi" w:hAnsiTheme="minorHAnsi"/>
        <w:color w:val="000000"/>
        <w:sz w:val="20"/>
      </w:rPr>
      <w:t xml:space="preserve"> -</w:t>
    </w:r>
  </w:p>
  <w:p w14:paraId="6BDBE4A2" w14:textId="77777777" w:rsidR="00C04B93" w:rsidRDefault="00C04B93">
    <w:pPr>
      <w:pBdr>
        <w:top w:val="nil"/>
        <w:left w:val="nil"/>
        <w:bottom w:val="nil"/>
        <w:right w:val="nil"/>
        <w:between w:val="nil"/>
      </w:pBdr>
      <w:tabs>
        <w:tab w:val="center" w:pos="4419"/>
        <w:tab w:val="right" w:pos="8838"/>
      </w:tabs>
      <w:rPr>
        <w:color w:val="000000"/>
      </w:rPr>
    </w:pPr>
  </w:p>
  <w:p w14:paraId="6DDF077F" w14:textId="77777777" w:rsidR="00C04B93" w:rsidRDefault="00C04B9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679264"/>
      <w:docPartObj>
        <w:docPartGallery w:val="Page Numbers (Bottom of Page)"/>
        <w:docPartUnique/>
      </w:docPartObj>
    </w:sdtPr>
    <w:sdtContent>
      <w:p w14:paraId="639388C8" w14:textId="3FC3A4D6" w:rsidR="00336714" w:rsidRDefault="00336714">
        <w:pPr>
          <w:pStyle w:val="Piedepgina"/>
          <w:jc w:val="center"/>
        </w:pPr>
        <w:r>
          <w:fldChar w:fldCharType="begin"/>
        </w:r>
        <w:r>
          <w:instrText>PAGE   \* MERGEFORMAT</w:instrText>
        </w:r>
        <w:r>
          <w:fldChar w:fldCharType="separate"/>
        </w:r>
        <w:r>
          <w:rPr>
            <w:lang w:val="es-ES"/>
          </w:rPr>
          <w:t>2</w:t>
        </w:r>
        <w:r>
          <w:fldChar w:fldCharType="end"/>
        </w:r>
      </w:p>
    </w:sdtContent>
  </w:sdt>
  <w:p w14:paraId="3B0C57DD" w14:textId="77777777" w:rsidR="00336714" w:rsidRDefault="0033671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FAEAB" w14:textId="77777777" w:rsidR="00772FE7" w:rsidRDefault="00772FE7" w:rsidP="00C04B93">
      <w:r>
        <w:separator/>
      </w:r>
    </w:p>
  </w:footnote>
  <w:footnote w:type="continuationSeparator" w:id="0">
    <w:p w14:paraId="134D6775" w14:textId="77777777" w:rsidR="00772FE7" w:rsidRDefault="00772FE7" w:rsidP="00C04B93">
      <w:r>
        <w:continuationSeparator/>
      </w:r>
    </w:p>
  </w:footnote>
  <w:footnote w:id="1">
    <w:p w14:paraId="7F708C85" w14:textId="77777777" w:rsidR="00C04B93" w:rsidRPr="00E72D98" w:rsidRDefault="00C04B93" w:rsidP="00C04B93">
      <w:pPr>
        <w:pBdr>
          <w:top w:val="nil"/>
          <w:left w:val="nil"/>
          <w:bottom w:val="nil"/>
          <w:right w:val="nil"/>
          <w:between w:val="nil"/>
        </w:pBdr>
        <w:jc w:val="both"/>
        <w:rPr>
          <w:rFonts w:asciiTheme="minorHAnsi" w:hAnsiTheme="minorHAnsi" w:cstheme="minorHAnsi"/>
          <w:color w:val="000000"/>
          <w:sz w:val="18"/>
          <w:szCs w:val="18"/>
        </w:rPr>
      </w:pPr>
      <w:r w:rsidRPr="00FB4E78">
        <w:rPr>
          <w:rFonts w:asciiTheme="minorHAnsi" w:hAnsiTheme="minorHAnsi"/>
          <w:sz w:val="18"/>
          <w:vertAlign w:val="superscript"/>
        </w:rPr>
        <w:footnoteRef/>
      </w:r>
      <w:r w:rsidRPr="00FB4E78">
        <w:rPr>
          <w:rFonts w:asciiTheme="minorHAnsi" w:eastAsia="Garamond" w:hAnsiTheme="minorHAnsi"/>
          <w:color w:val="000000"/>
          <w:sz w:val="18"/>
        </w:rPr>
        <w:t xml:space="preserve"> </w:t>
      </w:r>
      <w:r w:rsidRPr="00E72D98">
        <w:rPr>
          <w:rFonts w:asciiTheme="minorHAnsi" w:hAnsiTheme="minorHAnsi" w:cstheme="minorHAnsi"/>
          <w:color w:val="000000"/>
          <w:sz w:val="18"/>
          <w:szCs w:val="18"/>
        </w:rPr>
        <w:t>Salvo que el Período de Licitación Pública fuera prorrogado por la Emisora de acuerdo con el procedimiento previsto en el Suplemento.</w:t>
      </w:r>
    </w:p>
  </w:footnote>
  <w:footnote w:id="2">
    <w:p w14:paraId="748B2D82" w14:textId="77777777" w:rsidR="00C04B93" w:rsidRDefault="00C04B93" w:rsidP="00C04B93">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Por favor consignar según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BF3A" w14:textId="77777777" w:rsidR="00C04B93" w:rsidRDefault="00C04B93">
    <w:pPr>
      <w:pBdr>
        <w:top w:val="nil"/>
        <w:left w:val="nil"/>
        <w:bottom w:val="nil"/>
        <w:right w:val="nil"/>
        <w:between w:val="nil"/>
      </w:pBdr>
      <w:tabs>
        <w:tab w:val="center" w:pos="4419"/>
        <w:tab w:val="right" w:pos="8838"/>
      </w:tabs>
      <w:jc w:val="both"/>
      <w:rPr>
        <w:color w:val="000000"/>
        <w:sz w:val="26"/>
        <w:szCs w:val="26"/>
      </w:rPr>
    </w:pPr>
  </w:p>
  <w:p w14:paraId="197DD63C" w14:textId="77777777" w:rsidR="00C04B93" w:rsidRDefault="00C04B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F6B73"/>
    <w:multiLevelType w:val="hybridMultilevel"/>
    <w:tmpl w:val="BB400A4A"/>
    <w:lvl w:ilvl="0" w:tplc="05003DD2">
      <w:start w:val="2"/>
      <w:numFmt w:val="bullet"/>
      <w:lvlText w:val=""/>
      <w:lvlJc w:val="left"/>
      <w:pPr>
        <w:ind w:left="720" w:hanging="360"/>
      </w:pPr>
      <w:rPr>
        <w:rFonts w:ascii="Symbol" w:eastAsia="Calibri" w:hAnsi="Symbol" w:cstheme="minorHAnsi" w:hint="default"/>
        <w:sz w:val="20"/>
        <w:szCs w:val="2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71940D08"/>
    <w:multiLevelType w:val="multilevel"/>
    <w:tmpl w:val="DC5E8B2E"/>
    <w:lvl w:ilvl="0">
      <w:start w:val="1"/>
      <w:numFmt w:val="upperLetter"/>
      <w:lvlText w:val="%1."/>
      <w:lvlJc w:val="left"/>
      <w:pPr>
        <w:ind w:left="720" w:hanging="360"/>
      </w:pPr>
      <w:rPr>
        <w:rFonts w:asciiTheme="minorHAnsi" w:hAnsiTheme="minorHAnsi" w:cstheme="minorHAnsi" w:hint="default"/>
        <w:b/>
        <w:sz w:val="20"/>
        <w:szCs w:val="20"/>
      </w:rPr>
    </w:lvl>
    <w:lvl w:ilvl="1">
      <w:start w:val="1"/>
      <w:numFmt w:val="lowerLetter"/>
      <w:lvlText w:val="%2)"/>
      <w:lvlJc w:val="left"/>
      <w:pPr>
        <w:ind w:left="1440" w:hanging="360"/>
      </w:pPr>
      <w:rPr>
        <w:b/>
        <w:i/>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110306">
    <w:abstractNumId w:val="1"/>
  </w:num>
  <w:num w:numId="2" w16cid:durableId="2136752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93"/>
    <w:rsid w:val="000E2FD0"/>
    <w:rsid w:val="00336714"/>
    <w:rsid w:val="00564CED"/>
    <w:rsid w:val="006B10FC"/>
    <w:rsid w:val="00772FE7"/>
    <w:rsid w:val="00952C03"/>
    <w:rsid w:val="00C04B93"/>
    <w:rsid w:val="00C804E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F42401"/>
  <w15:chartTrackingRefBased/>
  <w15:docId w15:val="{7C54C7E5-F7D4-42AA-BB89-A22C03D39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B93"/>
    <w:pPr>
      <w:spacing w:after="0" w:line="240" w:lineRule="auto"/>
    </w:pPr>
    <w:rPr>
      <w:rFonts w:ascii="Times New Roman" w:eastAsia="Times New Roman" w:hAnsi="Times New Roman" w:cs="Times New Roman"/>
      <w:kern w:val="0"/>
      <w:lang w:eastAsia="es-ES"/>
      <w14:ligatures w14:val="none"/>
    </w:rPr>
  </w:style>
  <w:style w:type="paragraph" w:styleId="Ttulo1">
    <w:name w:val="heading 1"/>
    <w:aliases w:val="Level1,app heading 1,l1,level1"/>
    <w:basedOn w:val="Normal"/>
    <w:next w:val="Normal"/>
    <w:link w:val="Ttulo1Car"/>
    <w:qFormat/>
    <w:rsid w:val="00C04B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4B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4B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4B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4B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4B9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4B9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4B9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4B9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Level1 Car,app heading 1 Car,l1 Car,level1 Car"/>
    <w:basedOn w:val="Fuentedeprrafopredeter"/>
    <w:link w:val="Ttulo1"/>
    <w:rsid w:val="00C04B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4B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4B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4B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4B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4B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4B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4B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4B93"/>
    <w:rPr>
      <w:rFonts w:eastAsiaTheme="majorEastAsia" w:cstheme="majorBidi"/>
      <w:color w:val="272727" w:themeColor="text1" w:themeTint="D8"/>
    </w:rPr>
  </w:style>
  <w:style w:type="paragraph" w:styleId="Ttulo">
    <w:name w:val="Title"/>
    <w:basedOn w:val="Normal"/>
    <w:next w:val="Normal"/>
    <w:link w:val="TtuloCar"/>
    <w:uiPriority w:val="10"/>
    <w:qFormat/>
    <w:rsid w:val="00C04B9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4B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4B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4B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4B93"/>
    <w:pPr>
      <w:spacing w:before="160"/>
      <w:jc w:val="center"/>
    </w:pPr>
    <w:rPr>
      <w:i/>
      <w:iCs/>
      <w:color w:val="404040" w:themeColor="text1" w:themeTint="BF"/>
    </w:rPr>
  </w:style>
  <w:style w:type="character" w:customStyle="1" w:styleId="CitaCar">
    <w:name w:val="Cita Car"/>
    <w:basedOn w:val="Fuentedeprrafopredeter"/>
    <w:link w:val="Cita"/>
    <w:uiPriority w:val="29"/>
    <w:rsid w:val="00C04B93"/>
    <w:rPr>
      <w:i/>
      <w:iCs/>
      <w:color w:val="404040" w:themeColor="text1" w:themeTint="BF"/>
    </w:rPr>
  </w:style>
  <w:style w:type="paragraph" w:styleId="Prrafodelista">
    <w:name w:val="List Paragraph"/>
    <w:aliases w:val="Used List Paragraph"/>
    <w:basedOn w:val="Normal"/>
    <w:link w:val="PrrafodelistaCar"/>
    <w:qFormat/>
    <w:rsid w:val="00C04B93"/>
    <w:pPr>
      <w:ind w:left="720"/>
      <w:contextualSpacing/>
    </w:pPr>
  </w:style>
  <w:style w:type="character" w:styleId="nfasisintenso">
    <w:name w:val="Intense Emphasis"/>
    <w:basedOn w:val="Fuentedeprrafopredeter"/>
    <w:uiPriority w:val="21"/>
    <w:qFormat/>
    <w:rsid w:val="00C04B93"/>
    <w:rPr>
      <w:i/>
      <w:iCs/>
      <w:color w:val="0F4761" w:themeColor="accent1" w:themeShade="BF"/>
    </w:rPr>
  </w:style>
  <w:style w:type="paragraph" w:styleId="Citadestacada">
    <w:name w:val="Intense Quote"/>
    <w:basedOn w:val="Normal"/>
    <w:next w:val="Normal"/>
    <w:link w:val="CitadestacadaCar"/>
    <w:uiPriority w:val="30"/>
    <w:qFormat/>
    <w:rsid w:val="00C04B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4B93"/>
    <w:rPr>
      <w:i/>
      <w:iCs/>
      <w:color w:val="0F4761" w:themeColor="accent1" w:themeShade="BF"/>
    </w:rPr>
  </w:style>
  <w:style w:type="character" w:styleId="Referenciaintensa">
    <w:name w:val="Intense Reference"/>
    <w:basedOn w:val="Fuentedeprrafopredeter"/>
    <w:uiPriority w:val="32"/>
    <w:qFormat/>
    <w:rsid w:val="00C04B93"/>
    <w:rPr>
      <w:b/>
      <w:bCs/>
      <w:smallCaps/>
      <w:color w:val="0F4761" w:themeColor="accent1" w:themeShade="BF"/>
      <w:spacing w:val="5"/>
    </w:rPr>
  </w:style>
  <w:style w:type="character" w:styleId="Hipervnculo">
    <w:name w:val="Hyperlink"/>
    <w:uiPriority w:val="99"/>
    <w:rsid w:val="00C04B93"/>
    <w:rPr>
      <w:color w:val="0000FF"/>
      <w:sz w:val="20"/>
      <w:u w:val="single"/>
    </w:rPr>
  </w:style>
  <w:style w:type="character" w:customStyle="1" w:styleId="PrrafodelistaCar">
    <w:name w:val="Párrafo de lista Car"/>
    <w:aliases w:val="Used List Paragraph Car"/>
    <w:link w:val="Prrafodelista"/>
    <w:locked/>
    <w:rsid w:val="00C04B93"/>
  </w:style>
  <w:style w:type="paragraph" w:styleId="Encabezado">
    <w:name w:val="header"/>
    <w:basedOn w:val="Normal"/>
    <w:link w:val="EncabezadoCar"/>
    <w:uiPriority w:val="99"/>
    <w:unhideWhenUsed/>
    <w:rsid w:val="00336714"/>
    <w:pPr>
      <w:tabs>
        <w:tab w:val="center" w:pos="4252"/>
        <w:tab w:val="right" w:pos="8504"/>
      </w:tabs>
    </w:pPr>
  </w:style>
  <w:style w:type="character" w:customStyle="1" w:styleId="EncabezadoCar">
    <w:name w:val="Encabezado Car"/>
    <w:basedOn w:val="Fuentedeprrafopredeter"/>
    <w:link w:val="Encabezado"/>
    <w:uiPriority w:val="99"/>
    <w:rsid w:val="00336714"/>
    <w:rPr>
      <w:rFonts w:ascii="Times New Roman" w:eastAsia="Times New Roman" w:hAnsi="Times New Roman" w:cs="Times New Roman"/>
      <w:kern w:val="0"/>
      <w:lang w:eastAsia="es-ES"/>
      <w14:ligatures w14:val="none"/>
    </w:rPr>
  </w:style>
  <w:style w:type="paragraph" w:styleId="Piedepgina">
    <w:name w:val="footer"/>
    <w:basedOn w:val="Normal"/>
    <w:link w:val="PiedepginaCar"/>
    <w:uiPriority w:val="99"/>
    <w:unhideWhenUsed/>
    <w:rsid w:val="00336714"/>
    <w:pPr>
      <w:tabs>
        <w:tab w:val="center" w:pos="4252"/>
        <w:tab w:val="right" w:pos="8504"/>
      </w:tabs>
    </w:pPr>
  </w:style>
  <w:style w:type="character" w:customStyle="1" w:styleId="PiedepginaCar">
    <w:name w:val="Pie de página Car"/>
    <w:basedOn w:val="Fuentedeprrafopredeter"/>
    <w:link w:val="Piedepgina"/>
    <w:uiPriority w:val="99"/>
    <w:rsid w:val="00336714"/>
    <w:rPr>
      <w:rFonts w:ascii="Times New Roman" w:eastAsia="Times New Roman" w:hAnsi="Times New Roman" w:cs="Times New Roman"/>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B103B.058E535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genneia.com.a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nv.gov.a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marketdata.mae.com.ar/licitaciones" TargetMode="External"/><Relationship Id="rId4" Type="http://schemas.openxmlformats.org/officeDocument/2006/relationships/webSettings" Target="webSettings.xml"/><Relationship Id="rId9" Type="http://schemas.openxmlformats.org/officeDocument/2006/relationships/hyperlink" Target="http://www.argentina.gov.ar/cnv"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3628</Words>
  <Characters>19960</Characters>
  <Application>Microsoft Office Word</Application>
  <DocSecurity>0</DocSecurity>
  <Lines>166</Lines>
  <Paragraphs>47</Paragraphs>
  <ScaleCrop>false</ScaleCrop>
  <Company/>
  <LinksUpToDate>false</LinksUpToDate>
  <CharactersWithSpaces>23541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Aranda</dc:creator>
  <cp:keywords/>
  <dc:description/>
  <cp:lastModifiedBy>Maria Aranda</cp:lastModifiedBy>
  <cp:revision>2</cp:revision>
  <dcterms:created xsi:type="dcterms:W3CDTF">2026-10-30T23:10:00Z</dcterms:created>
  <dcterms:modified xsi:type="dcterms:W3CDTF">2026-10-30T23:19:00Z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9378c09-609d-421b-88fc-485d53760b2b_Enabled">
    <vt:lpwstr>true</vt:lpwstr>
  </property>
  <property fmtid="{D5CDD505-2E9C-101B-9397-08002B2CF9AE}" pid="3" name="MSIP_Label_a9378c09-609d-421b-88fc-485d53760b2b_SetDate">
    <vt:lpwstr>2026-10-30T23:10:55Z</vt:lpwstr>
  </property>
  <property fmtid="{D5CDD505-2E9C-101B-9397-08002B2CF9AE}" pid="4" name="MSIP_Label_a9378c09-609d-421b-88fc-485d53760b2b_Method">
    <vt:lpwstr>Standard</vt:lpwstr>
  </property>
  <property fmtid="{D5CDD505-2E9C-101B-9397-08002B2CF9AE}" pid="5" name="MSIP_Label_a9378c09-609d-421b-88fc-485d53760b2b_Name">
    <vt:lpwstr>Etiqueta Estrictamente Secreto</vt:lpwstr>
  </property>
  <property fmtid="{D5CDD505-2E9C-101B-9397-08002B2CF9AE}" pid="6" name="MSIP_Label_a9378c09-609d-421b-88fc-485d53760b2b_SiteId">
    <vt:lpwstr>d80f880f-4d4b-48a4-b6d5-ee44b3cdf59b</vt:lpwstr>
  </property>
  <property fmtid="{D5CDD505-2E9C-101B-9397-08002B2CF9AE}" pid="7" name="MSIP_Label_a9378c09-609d-421b-88fc-485d53760b2b_ActionId">
    <vt:lpwstr>66b963b7-c903-4fe1-b2f3-649d28462732</vt:lpwstr>
  </property>
  <property fmtid="{D5CDD505-2E9C-101B-9397-08002B2CF9AE}" pid="8" name="MSIP_Label_a9378c09-609d-421b-88fc-485d53760b2b_ContentBits">
    <vt:lpwstr>0</vt:lpwstr>
  </property>
  <property fmtid="{D5CDD505-2E9C-101B-9397-08002B2CF9AE}" pid="9" name="MSIP_Label_a9378c09-609d-421b-88fc-485d53760b2b_Tag">
    <vt:lpwstr>10, 3, 0, 1</vt:lpwstr>
  </property>
</Properties>
</file>