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24103" w14:textId="77777777" w:rsidR="00861BA2" w:rsidRPr="00B52734" w:rsidRDefault="00861BA2" w:rsidP="00861BA2">
      <w:pPr>
        <w:jc w:val="center"/>
        <w:rPr>
          <w:rFonts w:cstheme="minorHAnsi"/>
          <w:b/>
          <w:sz w:val="22"/>
          <w:szCs w:val="22"/>
          <w:u w:val="single"/>
          <w:lang w:val="es-AR"/>
        </w:rPr>
      </w:pPr>
      <w:bookmarkStart w:id="0" w:name="_Toc20327134"/>
      <w:bookmarkStart w:id="1" w:name="_Toc356987196"/>
      <w:bookmarkStart w:id="2" w:name="_Hlk137055410"/>
      <w:r w:rsidRPr="00B52734">
        <w:rPr>
          <w:rFonts w:cstheme="minorHAnsi"/>
          <w:b/>
          <w:sz w:val="22"/>
          <w:szCs w:val="22"/>
          <w:u w:val="single"/>
          <w:lang w:val="es-AR"/>
        </w:rPr>
        <w:t>ORDEN DE COMPRA</w:t>
      </w:r>
    </w:p>
    <w:p w14:paraId="4A6500EE" w14:textId="77777777" w:rsidR="00861BA2" w:rsidRPr="00B52734" w:rsidRDefault="00861BA2" w:rsidP="00861BA2">
      <w:pPr>
        <w:jc w:val="right"/>
        <w:rPr>
          <w:rFonts w:cstheme="minorHAnsi"/>
          <w:sz w:val="22"/>
          <w:szCs w:val="22"/>
          <w:lang w:val="es-AR"/>
        </w:rPr>
      </w:pPr>
      <w:r w:rsidRPr="00B52734">
        <w:rPr>
          <w:noProof/>
          <w:lang w:val="es-AR"/>
        </w:rPr>
        <w:drawing>
          <wp:anchor distT="0" distB="0" distL="114300" distR="114300" simplePos="0" relativeHeight="251659264" behindDoc="0" locked="0" layoutInCell="1" allowOverlap="1" wp14:anchorId="1EA02FA3" wp14:editId="025054AA">
            <wp:simplePos x="0" y="0"/>
            <wp:positionH relativeFrom="margin">
              <wp:align>center</wp:align>
            </wp:positionH>
            <wp:positionV relativeFrom="paragraph">
              <wp:posOffset>3810</wp:posOffset>
            </wp:positionV>
            <wp:extent cx="1847850" cy="1066800"/>
            <wp:effectExtent l="0" t="0" r="0" b="0"/>
            <wp:wrapThrough wrapText="bothSides">
              <wp:wrapPolygon edited="0">
                <wp:start x="13806" y="0"/>
                <wp:lineTo x="3563" y="5786"/>
                <wp:lineTo x="3563" y="16586"/>
                <wp:lineTo x="4231" y="16971"/>
                <wp:lineTo x="13806" y="17743"/>
                <wp:lineTo x="14920" y="17743"/>
                <wp:lineTo x="17814" y="16971"/>
                <wp:lineTo x="17814" y="14657"/>
                <wp:lineTo x="15365" y="12343"/>
                <wp:lineTo x="18037" y="6943"/>
                <wp:lineTo x="18037" y="6171"/>
                <wp:lineTo x="14920" y="0"/>
                <wp:lineTo x="13806" y="0"/>
              </wp:wrapPolygon>
            </wp:wrapThrough>
            <wp:docPr id="1462210807"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10;&#10;Descripción generada automáticament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47850"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19995" w14:textId="77777777" w:rsidR="00861BA2" w:rsidRPr="00B52734" w:rsidRDefault="00861BA2" w:rsidP="00861BA2">
      <w:pPr>
        <w:jc w:val="right"/>
        <w:rPr>
          <w:rFonts w:cstheme="minorHAnsi"/>
          <w:sz w:val="22"/>
          <w:szCs w:val="22"/>
          <w:lang w:val="es-AR"/>
        </w:rPr>
      </w:pPr>
    </w:p>
    <w:p w14:paraId="2CCDAAEB" w14:textId="77777777" w:rsidR="00861BA2" w:rsidRPr="00B52734" w:rsidRDefault="00861BA2" w:rsidP="00861BA2">
      <w:pPr>
        <w:jc w:val="right"/>
        <w:rPr>
          <w:rFonts w:cstheme="minorHAnsi"/>
          <w:sz w:val="22"/>
          <w:szCs w:val="22"/>
          <w:lang w:val="es-AR"/>
        </w:rPr>
      </w:pPr>
    </w:p>
    <w:p w14:paraId="263B395C" w14:textId="77777777" w:rsidR="00861BA2" w:rsidRPr="00B52734" w:rsidRDefault="00861BA2" w:rsidP="00861BA2">
      <w:pPr>
        <w:jc w:val="center"/>
        <w:rPr>
          <w:b/>
          <w:sz w:val="20"/>
          <w:u w:val="single"/>
          <w:lang w:val="es-AR"/>
        </w:rPr>
      </w:pPr>
    </w:p>
    <w:p w14:paraId="491435CB" w14:textId="77777777" w:rsidR="00861BA2" w:rsidRPr="00B52734" w:rsidRDefault="00861BA2" w:rsidP="00861BA2">
      <w:pPr>
        <w:jc w:val="center"/>
        <w:rPr>
          <w:b/>
          <w:sz w:val="20"/>
          <w:u w:val="single"/>
          <w:lang w:val="es-AR"/>
        </w:rPr>
      </w:pPr>
      <w:r w:rsidRPr="00B52734">
        <w:rPr>
          <w:b/>
          <w:sz w:val="20"/>
          <w:u w:val="single"/>
          <w:lang w:val="es-AR"/>
        </w:rPr>
        <w:t>BANCO DE SERVICIOS Y TRANSACCIONES S.A.</w:t>
      </w:r>
    </w:p>
    <w:p w14:paraId="27608F81" w14:textId="77777777" w:rsidR="00861BA2" w:rsidRPr="00B52734" w:rsidRDefault="00861BA2" w:rsidP="00861BA2">
      <w:pPr>
        <w:jc w:val="center"/>
        <w:rPr>
          <w:b/>
          <w:sz w:val="20"/>
          <w:u w:val="single"/>
          <w:lang w:val="es-AR"/>
        </w:rPr>
      </w:pPr>
      <w:proofErr w:type="spellStart"/>
      <w:r w:rsidRPr="00B52734">
        <w:rPr>
          <w:b/>
          <w:sz w:val="20"/>
          <w:u w:val="single"/>
          <w:lang w:val="es-AR"/>
        </w:rPr>
        <w:t>ALyC</w:t>
      </w:r>
      <w:proofErr w:type="spellEnd"/>
      <w:r w:rsidRPr="00B52734">
        <w:rPr>
          <w:b/>
          <w:sz w:val="20"/>
          <w:u w:val="single"/>
          <w:lang w:val="es-AR"/>
        </w:rPr>
        <w:t xml:space="preserve"> y AN N°64 de la CNV</w:t>
      </w:r>
    </w:p>
    <w:p w14:paraId="3E6E0AC6" w14:textId="77777777" w:rsidR="00861BA2" w:rsidRPr="00B52734" w:rsidRDefault="00861BA2" w:rsidP="00861BA2">
      <w:pPr>
        <w:jc w:val="center"/>
        <w:rPr>
          <w:b/>
          <w:sz w:val="20"/>
          <w:u w:val="single"/>
          <w:lang w:val="es-AR"/>
        </w:rPr>
      </w:pPr>
      <w:r w:rsidRPr="00B52734">
        <w:rPr>
          <w:b/>
          <w:sz w:val="20"/>
          <w:u w:val="single"/>
          <w:lang w:val="es-AR"/>
        </w:rPr>
        <w:t>Agente Colocador</w:t>
      </w:r>
    </w:p>
    <w:p w14:paraId="01DF0F22" w14:textId="77777777" w:rsidR="00861BA2" w:rsidRPr="00B52734" w:rsidRDefault="00861BA2" w:rsidP="00032352">
      <w:pPr>
        <w:spacing w:after="0" w:line="240" w:lineRule="auto"/>
        <w:jc w:val="center"/>
        <w:rPr>
          <w:rFonts w:ascii="Calibri" w:eastAsia="Times New Roman" w:hAnsi="Calibri" w:cs="Calibri"/>
          <w:b/>
          <w:kern w:val="0"/>
          <w:sz w:val="22"/>
          <w:szCs w:val="22"/>
          <w:u w:val="single"/>
          <w:lang w:val="es-AR" w:eastAsia="es-ES"/>
          <w14:ligatures w14:val="none"/>
        </w:rPr>
      </w:pPr>
    </w:p>
    <w:p w14:paraId="5B42EFCD" w14:textId="77777777" w:rsidR="00032352" w:rsidRPr="00B52734" w:rsidRDefault="00032352" w:rsidP="00032352">
      <w:pPr>
        <w:spacing w:after="0" w:line="240" w:lineRule="auto"/>
        <w:jc w:val="center"/>
        <w:rPr>
          <w:rFonts w:ascii="Calibri" w:eastAsia="Times New Roman" w:hAnsi="Calibri" w:cs="Calibri"/>
          <w:b/>
          <w:kern w:val="0"/>
          <w:sz w:val="22"/>
          <w:szCs w:val="22"/>
          <w:u w:val="single"/>
          <w:lang w:val="es-AR" w:eastAsia="es-ES"/>
          <w14:ligatures w14:val="none"/>
        </w:rPr>
      </w:pPr>
    </w:p>
    <w:bookmarkEnd w:id="0"/>
    <w:bookmarkEnd w:id="1"/>
    <w:bookmarkEnd w:id="2"/>
    <w:p w14:paraId="31F68049" w14:textId="3557E262" w:rsidR="00032352" w:rsidRPr="00B52734" w:rsidRDefault="00032352" w:rsidP="00032352">
      <w:pPr>
        <w:spacing w:after="0" w:line="240" w:lineRule="auto"/>
        <w:jc w:val="right"/>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Ciudad Autónoma de Buenos Aires, </w:t>
      </w:r>
      <w:r w:rsidR="00861BA2" w:rsidRPr="00B52734">
        <w:rPr>
          <w:rFonts w:ascii="Calibri" w:eastAsia="Times New Roman" w:hAnsi="Calibri" w:cs="Calibri"/>
          <w:kern w:val="0"/>
          <w:sz w:val="22"/>
          <w:szCs w:val="22"/>
          <w:lang w:val="es-AR" w:eastAsia="es-ES"/>
          <w14:ligatures w14:val="none"/>
        </w:rPr>
        <w:t>11</w:t>
      </w:r>
      <w:r w:rsidRPr="00B52734">
        <w:rPr>
          <w:rFonts w:ascii="Calibri" w:eastAsia="Times New Roman" w:hAnsi="Calibri" w:cs="Calibri"/>
          <w:kern w:val="0"/>
          <w:sz w:val="22"/>
          <w:szCs w:val="22"/>
          <w:lang w:val="es-AR" w:eastAsia="es-ES"/>
          <w14:ligatures w14:val="none"/>
        </w:rPr>
        <w:t xml:space="preserve"> </w:t>
      </w:r>
      <w:r w:rsidRPr="00B52734">
        <w:rPr>
          <w:rFonts w:ascii="Aptos" w:eastAsia="Times New Roman" w:hAnsi="Aptos" w:cs="Calibri"/>
          <w:kern w:val="0"/>
          <w:sz w:val="22"/>
          <w:szCs w:val="22"/>
          <w:lang w:val="es-AR" w:eastAsia="es-ES"/>
          <w14:ligatures w14:val="none"/>
        </w:rPr>
        <w:t>de julio de 2025</w:t>
      </w:r>
    </w:p>
    <w:p w14:paraId="58A4512D" w14:textId="77777777" w:rsidR="00032352" w:rsidRPr="00B52734" w:rsidRDefault="00032352" w:rsidP="00032352">
      <w:pPr>
        <w:spacing w:after="0" w:line="240" w:lineRule="auto"/>
        <w:jc w:val="center"/>
        <w:rPr>
          <w:rFonts w:ascii="Aptos" w:eastAsia="Times New Roman" w:hAnsi="Aptos" w:cs="Calibri"/>
          <w:kern w:val="0"/>
          <w:sz w:val="22"/>
          <w:szCs w:val="22"/>
          <w:lang w:val="es-AR" w:eastAsia="es-ES"/>
          <w14:ligatures w14:val="none"/>
        </w:rPr>
      </w:pPr>
    </w:p>
    <w:p w14:paraId="32CB1154" w14:textId="77777777" w:rsidR="00032352" w:rsidRPr="00B52734" w:rsidRDefault="00032352" w:rsidP="00032352">
      <w:pPr>
        <w:spacing w:after="0" w:line="240" w:lineRule="auto"/>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Banco de Servicios y Transacciones S.A.</w:t>
      </w:r>
    </w:p>
    <w:p w14:paraId="33647F29" w14:textId="77777777" w:rsidR="00032352" w:rsidRPr="00B52734" w:rsidRDefault="00032352" w:rsidP="00032352">
      <w:pPr>
        <w:spacing w:after="0" w:line="240" w:lineRule="auto"/>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Tte. Gral. Juan Domingo Perón 646, Piso 4°</w:t>
      </w:r>
    </w:p>
    <w:p w14:paraId="316F11DA" w14:textId="77777777" w:rsidR="00032352" w:rsidRPr="00B52734" w:rsidRDefault="00032352" w:rsidP="00032352">
      <w:pPr>
        <w:spacing w:after="0" w:line="240" w:lineRule="auto"/>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Ciudad Autónoma de Buenos Aires</w:t>
      </w:r>
    </w:p>
    <w:p w14:paraId="0D0C9664" w14:textId="77777777" w:rsidR="00032352" w:rsidRPr="00B52734" w:rsidRDefault="00032352" w:rsidP="00032352">
      <w:pPr>
        <w:spacing w:after="0" w:line="240" w:lineRule="auto"/>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u w:val="single"/>
          <w:lang w:val="es-AR" w:eastAsia="es-ES"/>
          <w14:ligatures w14:val="none"/>
        </w:rPr>
        <w:t>Presente</w:t>
      </w:r>
    </w:p>
    <w:p w14:paraId="36F224AA" w14:textId="77777777" w:rsidR="00032352" w:rsidRPr="00B52734" w:rsidRDefault="00032352" w:rsidP="00032352">
      <w:pPr>
        <w:spacing w:after="0" w:line="240" w:lineRule="auto"/>
        <w:rPr>
          <w:rFonts w:ascii="Aptos" w:eastAsia="Times New Roman" w:hAnsi="Aptos" w:cs="Calibri"/>
          <w:kern w:val="0"/>
          <w:sz w:val="22"/>
          <w:szCs w:val="22"/>
          <w:u w:val="single"/>
          <w:lang w:val="es-AR" w:eastAsia="es-ES"/>
          <w14:ligatures w14:val="none"/>
        </w:rPr>
      </w:pPr>
    </w:p>
    <w:p w14:paraId="6AEF22F4" w14:textId="77777777" w:rsidR="00032352" w:rsidRPr="00B52734" w:rsidRDefault="00032352" w:rsidP="00032352">
      <w:pPr>
        <w:spacing w:after="0" w:line="240" w:lineRule="auto"/>
        <w:ind w:leftChars="1830" w:left="4531" w:rightChars="-50" w:right="-120" w:hanging="139"/>
        <w:jc w:val="both"/>
        <w:rPr>
          <w:rFonts w:ascii="Aptos" w:eastAsia="Times New Roman" w:hAnsi="Aptos" w:cs="Calibri"/>
          <w:b/>
          <w:kern w:val="0"/>
          <w:sz w:val="22"/>
          <w:szCs w:val="22"/>
          <w:lang w:val="es-AR" w:eastAsia="es-ES"/>
          <w14:ligatures w14:val="none"/>
        </w:rPr>
      </w:pPr>
      <w:r w:rsidRPr="00B52734">
        <w:rPr>
          <w:rFonts w:ascii="Aptos" w:eastAsia="Times New Roman" w:hAnsi="Aptos" w:cs="Calibri"/>
          <w:b/>
          <w:kern w:val="0"/>
          <w:sz w:val="22"/>
          <w:szCs w:val="22"/>
          <w:u w:val="single"/>
          <w:lang w:val="es-AR" w:eastAsia="es-ES"/>
          <w14:ligatures w14:val="none"/>
        </w:rPr>
        <w:t>Ref.</w:t>
      </w:r>
      <w:r w:rsidRPr="00B52734">
        <w:rPr>
          <w:rFonts w:ascii="Aptos" w:eastAsia="Times New Roman" w:hAnsi="Aptos" w:cs="Calibri"/>
          <w:b/>
          <w:kern w:val="0"/>
          <w:sz w:val="22"/>
          <w:szCs w:val="22"/>
          <w:lang w:val="es-AR" w:eastAsia="es-ES"/>
          <w14:ligatures w14:val="none"/>
        </w:rPr>
        <w:t xml:space="preserve">: </w:t>
      </w:r>
      <w:r w:rsidRPr="00B52734">
        <w:rPr>
          <w:rFonts w:ascii="Aptos" w:eastAsia="Times New Roman" w:hAnsi="Aptos" w:cs="Calibri"/>
          <w:bCs/>
          <w:kern w:val="0"/>
          <w:sz w:val="22"/>
          <w:szCs w:val="22"/>
          <w:lang w:val="es-AR" w:eastAsia="es-ES"/>
          <w14:ligatures w14:val="none"/>
        </w:rPr>
        <w:t>Orden de Compra – Obligaciones Negociables Clase XXII y Obligaciones Negociables Clase XXIII de Banco de Servicios y Transacciones S.A.</w:t>
      </w:r>
    </w:p>
    <w:p w14:paraId="731CD7E3" w14:textId="77777777" w:rsidR="00032352" w:rsidRPr="00B52734" w:rsidRDefault="00032352" w:rsidP="00032352">
      <w:pPr>
        <w:spacing w:after="0" w:line="240" w:lineRule="auto"/>
        <w:ind w:leftChars="2621" w:left="6290" w:rightChars="-50" w:right="-120" w:firstLineChars="200" w:firstLine="440"/>
        <w:jc w:val="both"/>
        <w:rPr>
          <w:rFonts w:ascii="Calibri" w:eastAsia="Times New Roman" w:hAnsi="Calibri" w:cs="Calibri"/>
          <w:kern w:val="0"/>
          <w:sz w:val="22"/>
          <w:szCs w:val="22"/>
          <w:lang w:val="es-AR" w:eastAsia="es-ES"/>
          <w14:ligatures w14:val="none"/>
        </w:rPr>
      </w:pPr>
    </w:p>
    <w:p w14:paraId="349309F0" w14:textId="77777777" w:rsidR="00032352" w:rsidRPr="00B52734" w:rsidRDefault="00032352" w:rsidP="00032352">
      <w:pPr>
        <w:spacing w:after="0" w:line="240" w:lineRule="auto"/>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De mi mayor consideración: </w:t>
      </w:r>
    </w:p>
    <w:p w14:paraId="07F11A60" w14:textId="77777777" w:rsidR="00032352" w:rsidRPr="00B52734" w:rsidRDefault="00032352" w:rsidP="00032352">
      <w:pPr>
        <w:spacing w:after="0" w:line="240" w:lineRule="auto"/>
        <w:jc w:val="both"/>
        <w:rPr>
          <w:rFonts w:ascii="Aptos" w:eastAsia="Times New Roman" w:hAnsi="Aptos" w:cs="Calibri"/>
          <w:kern w:val="0"/>
          <w:sz w:val="22"/>
          <w:szCs w:val="22"/>
          <w:lang w:val="es-AR" w:eastAsia="es-ES"/>
          <w14:ligatures w14:val="none"/>
        </w:rPr>
      </w:pPr>
    </w:p>
    <w:p w14:paraId="478D94B7" w14:textId="27A209EB" w:rsidR="00032352" w:rsidRPr="00B52734" w:rsidRDefault="00032352" w:rsidP="00032352">
      <w:pPr>
        <w:spacing w:after="0" w:line="240" w:lineRule="auto"/>
        <w:ind w:firstLineChars="322"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Por medio de la presente, el / los abajo firmantes (en adelante, el “</w:t>
      </w:r>
      <w:r w:rsidRPr="00B52734">
        <w:rPr>
          <w:rFonts w:ascii="Aptos" w:eastAsia="Times New Roman" w:hAnsi="Aptos" w:cs="Calibri"/>
          <w:i/>
          <w:iCs/>
          <w:kern w:val="0"/>
          <w:sz w:val="22"/>
          <w:szCs w:val="22"/>
          <w:lang w:val="es-AR" w:eastAsia="es-ES"/>
          <w14:ligatures w14:val="none"/>
        </w:rPr>
        <w:t>Oferente</w:t>
      </w:r>
      <w:r w:rsidRPr="00B52734">
        <w:rPr>
          <w:rFonts w:ascii="Aptos" w:eastAsia="Times New Roman" w:hAnsi="Aptos" w:cs="Calibri"/>
          <w:kern w:val="0"/>
          <w:sz w:val="22"/>
          <w:szCs w:val="22"/>
          <w:lang w:val="es-AR" w:eastAsia="es-ES"/>
          <w14:ligatures w14:val="none"/>
        </w:rPr>
        <w:t xml:space="preserve">”), se dirige a </w:t>
      </w:r>
      <w:r w:rsidR="00861BA2" w:rsidRPr="00B52734">
        <w:rPr>
          <w:rFonts w:cstheme="minorHAnsi"/>
          <w:sz w:val="22"/>
          <w:szCs w:val="22"/>
          <w:lang w:val="es-AR"/>
        </w:rPr>
        <w:t xml:space="preserve">Banco de Servicios y Transacciones S.A.  </w:t>
      </w:r>
      <w:r w:rsidRPr="00B52734">
        <w:rPr>
          <w:rFonts w:ascii="Aptos" w:eastAsia="Times New Roman" w:hAnsi="Aptos" w:cs="Calibri"/>
          <w:kern w:val="0"/>
          <w:sz w:val="22"/>
          <w:szCs w:val="22"/>
          <w:lang w:val="es-AR" w:eastAsia="es-ES"/>
          <w14:ligatures w14:val="none"/>
        </w:rPr>
        <w:t xml:space="preserve"> (en adelante, el “</w:t>
      </w:r>
      <w:r w:rsidRPr="00B52734">
        <w:rPr>
          <w:rFonts w:ascii="Aptos" w:eastAsia="Times New Roman" w:hAnsi="Aptos" w:cs="Calibri"/>
          <w:i/>
          <w:iCs/>
          <w:kern w:val="0"/>
          <w:sz w:val="22"/>
          <w:szCs w:val="22"/>
          <w:lang w:val="es-AR" w:eastAsia="es-ES"/>
          <w14:ligatures w14:val="none"/>
        </w:rPr>
        <w:t>Agente Colocador</w:t>
      </w:r>
      <w:r w:rsidRPr="00B52734">
        <w:rPr>
          <w:rFonts w:ascii="Aptos" w:eastAsia="Times New Roman" w:hAnsi="Aptos" w:cs="Calibri"/>
          <w:kern w:val="0"/>
          <w:sz w:val="22"/>
          <w:szCs w:val="22"/>
          <w:lang w:val="es-AR" w:eastAsia="es-ES"/>
          <w14:ligatures w14:val="none"/>
        </w:rPr>
        <w:t xml:space="preserve">”) en relación con </w:t>
      </w:r>
      <w:r w:rsidRPr="00B52734">
        <w:rPr>
          <w:rFonts w:ascii="Aptos" w:eastAsia="Times New Roman" w:hAnsi="Aptos" w:cs="Calibri"/>
          <w:bCs/>
          <w:kern w:val="0"/>
          <w:sz w:val="22"/>
          <w:szCs w:val="22"/>
          <w:lang w:val="es-AR" w:eastAsia="es-ES"/>
          <w14:ligatures w14:val="none"/>
        </w:rPr>
        <w:t>(i)</w:t>
      </w:r>
      <w:r w:rsidRPr="00B52734">
        <w:rPr>
          <w:rFonts w:ascii="Aptos" w:eastAsia="Times New Roman" w:hAnsi="Aptos" w:cs="Times New Roman"/>
          <w:kern w:val="0"/>
          <w:szCs w:val="20"/>
          <w:lang w:val="es-AR" w:eastAsia="es-ES"/>
          <w14:ligatures w14:val="none"/>
        </w:rPr>
        <w:t xml:space="preserve"> </w:t>
      </w:r>
      <w:r w:rsidRPr="00B52734">
        <w:rPr>
          <w:rFonts w:ascii="Aptos" w:eastAsia="Times New Roman" w:hAnsi="Aptos" w:cs="Calibri"/>
          <w:bCs/>
          <w:kern w:val="0"/>
          <w:sz w:val="22"/>
          <w:szCs w:val="22"/>
          <w:lang w:val="es-AR" w:eastAsia="es-ES"/>
          <w14:ligatures w14:val="none"/>
        </w:rPr>
        <w:t>las obligaciones negociables clase XXII, denominadas y pagaderas en Pesos a tasa de interés variable con vencimiento a los 6 meses desde la Fecha de Emisión y Liquidación, a ser integradas en efectivo en Pesos (las “</w:t>
      </w:r>
      <w:r w:rsidRPr="00B52734">
        <w:rPr>
          <w:rFonts w:ascii="Aptos" w:eastAsia="Times New Roman" w:hAnsi="Aptos" w:cs="Calibri"/>
          <w:bCs/>
          <w:i/>
          <w:iCs/>
          <w:kern w:val="0"/>
          <w:sz w:val="22"/>
          <w:szCs w:val="22"/>
          <w:lang w:val="es-AR" w:eastAsia="es-ES"/>
          <w14:ligatures w14:val="none"/>
        </w:rPr>
        <w:t>Obligaciones Negociables Clase XXII</w:t>
      </w:r>
      <w:r w:rsidRPr="00B52734">
        <w:rPr>
          <w:rFonts w:ascii="Aptos" w:eastAsia="Times New Roman" w:hAnsi="Aptos" w:cs="Calibri"/>
          <w:bCs/>
          <w:kern w:val="0"/>
          <w:sz w:val="22"/>
          <w:szCs w:val="22"/>
          <w:lang w:val="es-AR" w:eastAsia="es-ES"/>
          <w14:ligatures w14:val="none"/>
        </w:rPr>
        <w:t>”), y (</w:t>
      </w:r>
      <w:proofErr w:type="spellStart"/>
      <w:r w:rsidRPr="00B52734">
        <w:rPr>
          <w:rFonts w:ascii="Aptos" w:eastAsia="Times New Roman" w:hAnsi="Aptos" w:cs="Calibri"/>
          <w:bCs/>
          <w:kern w:val="0"/>
          <w:sz w:val="22"/>
          <w:szCs w:val="22"/>
          <w:lang w:val="es-AR" w:eastAsia="es-ES"/>
          <w14:ligatures w14:val="none"/>
        </w:rPr>
        <w:t>ii</w:t>
      </w:r>
      <w:proofErr w:type="spellEnd"/>
      <w:r w:rsidRPr="00B52734">
        <w:rPr>
          <w:rFonts w:ascii="Aptos" w:eastAsia="Times New Roman" w:hAnsi="Aptos" w:cs="Calibri"/>
          <w:bCs/>
          <w:kern w:val="0"/>
          <w:sz w:val="22"/>
          <w:szCs w:val="22"/>
          <w:lang w:val="es-AR" w:eastAsia="es-ES"/>
          <w14:ligatures w14:val="none"/>
        </w:rPr>
        <w:t xml:space="preserve">) </w:t>
      </w:r>
      <w:bookmarkStart w:id="3" w:name="_Hlk102402131"/>
      <w:r w:rsidRPr="00B52734">
        <w:rPr>
          <w:rFonts w:ascii="Aptos" w:eastAsia="Times New Roman" w:hAnsi="Aptos" w:cs="Calibri"/>
          <w:bCs/>
          <w:kern w:val="0"/>
          <w:sz w:val="22"/>
          <w:szCs w:val="22"/>
          <w:lang w:val="es-AR" w:eastAsia="es-ES"/>
          <w14:ligatures w14:val="none"/>
        </w:rPr>
        <w:t>las obligaciones negociables clase XXIII denominadas y pagaderas en Dólares Estadounidenses en el país a tasa de interés fija nominal anual, con vencimiento a los 12 meses contados desde la Fecha de Emisión y Liquidación, que podrán ser integradas: (A) en efectivo, o (B) en especie  a la Relación de Canje, ambas a ser emitidas por Banco de Servicios y Transacciones S.A. (“</w:t>
      </w:r>
      <w:r w:rsidRPr="00B52734">
        <w:rPr>
          <w:rFonts w:ascii="Aptos" w:eastAsia="Times New Roman" w:hAnsi="Aptos" w:cs="Calibri"/>
          <w:bCs/>
          <w:i/>
          <w:iCs/>
          <w:kern w:val="0"/>
          <w:sz w:val="22"/>
          <w:szCs w:val="22"/>
          <w:lang w:val="es-AR" w:eastAsia="es-ES"/>
          <w14:ligatures w14:val="none"/>
        </w:rPr>
        <w:t>BST</w:t>
      </w:r>
      <w:r w:rsidRPr="00B52734">
        <w:rPr>
          <w:rFonts w:ascii="Aptos" w:eastAsia="Times New Roman" w:hAnsi="Aptos" w:cs="Calibri"/>
          <w:bCs/>
          <w:kern w:val="0"/>
          <w:sz w:val="22"/>
          <w:szCs w:val="22"/>
          <w:lang w:val="es-AR" w:eastAsia="es-ES"/>
          <w14:ligatures w14:val="none"/>
        </w:rPr>
        <w:t>”, el “</w:t>
      </w:r>
      <w:r w:rsidRPr="00B52734">
        <w:rPr>
          <w:rFonts w:ascii="Aptos" w:eastAsia="Times New Roman" w:hAnsi="Aptos" w:cs="Calibri"/>
          <w:bCs/>
          <w:i/>
          <w:iCs/>
          <w:kern w:val="0"/>
          <w:sz w:val="22"/>
          <w:szCs w:val="22"/>
          <w:lang w:val="es-AR" w:eastAsia="es-ES"/>
          <w14:ligatures w14:val="none"/>
        </w:rPr>
        <w:t>Emisor</w:t>
      </w:r>
      <w:r w:rsidRPr="00B52734">
        <w:rPr>
          <w:rFonts w:ascii="Aptos" w:eastAsia="Times New Roman" w:hAnsi="Aptos" w:cs="Calibri"/>
          <w:bCs/>
          <w:kern w:val="0"/>
          <w:sz w:val="22"/>
          <w:szCs w:val="22"/>
          <w:lang w:val="es-AR" w:eastAsia="es-ES"/>
          <w14:ligatures w14:val="none"/>
        </w:rPr>
        <w:t>”, la “</w:t>
      </w:r>
      <w:r w:rsidRPr="00B52734">
        <w:rPr>
          <w:rFonts w:ascii="Aptos" w:eastAsia="Times New Roman" w:hAnsi="Aptos" w:cs="Calibri"/>
          <w:bCs/>
          <w:i/>
          <w:iCs/>
          <w:kern w:val="0"/>
          <w:sz w:val="22"/>
          <w:szCs w:val="22"/>
          <w:lang w:val="es-AR" w:eastAsia="es-ES"/>
          <w14:ligatures w14:val="none"/>
        </w:rPr>
        <w:t>Emisora</w:t>
      </w:r>
      <w:r w:rsidRPr="00B52734">
        <w:rPr>
          <w:rFonts w:ascii="Aptos" w:eastAsia="Times New Roman" w:hAnsi="Aptos" w:cs="Calibri"/>
          <w:bCs/>
          <w:kern w:val="0"/>
          <w:sz w:val="22"/>
          <w:szCs w:val="22"/>
          <w:lang w:val="es-AR" w:eastAsia="es-ES"/>
          <w14:ligatures w14:val="none"/>
        </w:rPr>
        <w:t>”, la “</w:t>
      </w:r>
      <w:r w:rsidRPr="00B52734">
        <w:rPr>
          <w:rFonts w:ascii="Aptos" w:eastAsia="Times New Roman" w:hAnsi="Aptos" w:cs="Calibri"/>
          <w:bCs/>
          <w:i/>
          <w:iCs/>
          <w:kern w:val="0"/>
          <w:sz w:val="22"/>
          <w:szCs w:val="22"/>
          <w:lang w:val="es-AR" w:eastAsia="es-ES"/>
          <w14:ligatures w14:val="none"/>
        </w:rPr>
        <w:t>Sociedad</w:t>
      </w:r>
      <w:r w:rsidRPr="00B52734">
        <w:rPr>
          <w:rFonts w:ascii="Aptos" w:eastAsia="Times New Roman" w:hAnsi="Aptos" w:cs="Calibri"/>
          <w:bCs/>
          <w:kern w:val="0"/>
          <w:sz w:val="22"/>
          <w:szCs w:val="22"/>
          <w:lang w:val="es-AR" w:eastAsia="es-ES"/>
          <w14:ligatures w14:val="none"/>
        </w:rPr>
        <w:t>”, la “</w:t>
      </w:r>
      <w:r w:rsidRPr="00B52734">
        <w:rPr>
          <w:rFonts w:ascii="Aptos" w:eastAsia="Times New Roman" w:hAnsi="Aptos" w:cs="Calibri"/>
          <w:bCs/>
          <w:i/>
          <w:iCs/>
          <w:kern w:val="0"/>
          <w:sz w:val="22"/>
          <w:szCs w:val="22"/>
          <w:lang w:val="es-AR" w:eastAsia="es-ES"/>
          <w14:ligatures w14:val="none"/>
        </w:rPr>
        <w:t>Compañía</w:t>
      </w:r>
      <w:r w:rsidRPr="00B52734">
        <w:rPr>
          <w:rFonts w:ascii="Aptos" w:eastAsia="Times New Roman" w:hAnsi="Aptos" w:cs="Calibri"/>
          <w:bCs/>
          <w:kern w:val="0"/>
          <w:sz w:val="22"/>
          <w:szCs w:val="22"/>
          <w:lang w:val="es-AR" w:eastAsia="es-ES"/>
          <w14:ligatures w14:val="none"/>
        </w:rPr>
        <w:t>” o el “</w:t>
      </w:r>
      <w:r w:rsidRPr="00B52734">
        <w:rPr>
          <w:rFonts w:ascii="Aptos" w:eastAsia="Times New Roman" w:hAnsi="Aptos" w:cs="Calibri"/>
          <w:bCs/>
          <w:i/>
          <w:iCs/>
          <w:kern w:val="0"/>
          <w:sz w:val="22"/>
          <w:szCs w:val="22"/>
          <w:lang w:val="es-AR" w:eastAsia="es-ES"/>
          <w14:ligatures w14:val="none"/>
        </w:rPr>
        <w:t>Banco</w:t>
      </w:r>
      <w:r w:rsidRPr="00B52734">
        <w:rPr>
          <w:rFonts w:ascii="Aptos" w:eastAsia="Times New Roman" w:hAnsi="Aptos" w:cs="Calibri"/>
          <w:bCs/>
          <w:kern w:val="0"/>
          <w:sz w:val="22"/>
          <w:szCs w:val="22"/>
          <w:lang w:val="es-AR" w:eastAsia="es-ES"/>
          <w14:ligatures w14:val="none"/>
        </w:rPr>
        <w:t>”, de manera indistinta) (en proceso de cambio de razón social a Banco de Servicios y Transacciones S.A.U.) por un valor nominal en conjunto en Dólares Estadounidenses de hasta el Monto Máximo Autorizado bajo el Programa Global de Emisión de Obligaciones Negociables simples (no convertibles en acciones) por hasta US$100.000.000 (Dólares Estadounidenses cien millones) (o su equivalente en otras monedas o unidades de valor) (el “</w:t>
      </w:r>
      <w:r w:rsidRPr="00B52734">
        <w:rPr>
          <w:rFonts w:ascii="Aptos" w:eastAsia="Times New Roman" w:hAnsi="Aptos" w:cs="Calibri"/>
          <w:bCs/>
          <w:i/>
          <w:iCs/>
          <w:kern w:val="0"/>
          <w:sz w:val="22"/>
          <w:szCs w:val="22"/>
          <w:lang w:val="es-AR" w:eastAsia="es-ES"/>
          <w14:ligatures w14:val="none"/>
        </w:rPr>
        <w:t>Programa</w:t>
      </w:r>
      <w:r w:rsidRPr="00B52734">
        <w:rPr>
          <w:rFonts w:ascii="Aptos" w:eastAsia="Times New Roman" w:hAnsi="Aptos" w:cs="Calibri"/>
          <w:bCs/>
          <w:kern w:val="0"/>
          <w:sz w:val="22"/>
          <w:szCs w:val="22"/>
          <w:lang w:val="es-AR" w:eastAsia="es-ES"/>
          <w14:ligatures w14:val="none"/>
        </w:rPr>
        <w:t xml:space="preserve">”), </w:t>
      </w:r>
      <w:r w:rsidRPr="00B52734">
        <w:rPr>
          <w:rFonts w:ascii="Aptos" w:eastAsia="Times New Roman" w:hAnsi="Aptos" w:cs="Calibri"/>
          <w:kern w:val="0"/>
          <w:sz w:val="22"/>
          <w:szCs w:val="22"/>
          <w:lang w:val="es-AR" w:eastAsia="es-ES"/>
          <w14:ligatures w14:val="none"/>
        </w:rPr>
        <w:t>de acuerdo a los términos y condiciones establecidos en: (i) el prospecto de Programa de fecha 22 de mayo de 2025 (el “</w:t>
      </w:r>
      <w:r w:rsidRPr="00B52734">
        <w:rPr>
          <w:rFonts w:ascii="Aptos" w:eastAsia="Times New Roman" w:hAnsi="Aptos" w:cs="Calibri"/>
          <w:i/>
          <w:iCs/>
          <w:kern w:val="0"/>
          <w:sz w:val="22"/>
          <w:szCs w:val="22"/>
          <w:lang w:val="es-AR" w:eastAsia="es-ES"/>
          <w14:ligatures w14:val="none"/>
        </w:rPr>
        <w:t>Prospecto</w:t>
      </w:r>
      <w:r w:rsidRPr="00B52734">
        <w:rPr>
          <w:rFonts w:ascii="Aptos" w:eastAsia="Times New Roman" w:hAnsi="Aptos" w:cs="Calibri"/>
          <w:kern w:val="0"/>
          <w:sz w:val="22"/>
          <w:szCs w:val="22"/>
          <w:lang w:val="es-AR" w:eastAsia="es-ES"/>
          <w14:ligatures w14:val="none"/>
        </w:rPr>
        <w:t>”) que fuera publicado junto con su versión resumida en la misma fecha en el boletín diario de la Bolsa de Comercio de Buenos Aires (“</w:t>
      </w:r>
      <w:r w:rsidRPr="00B52734">
        <w:rPr>
          <w:rFonts w:ascii="Aptos" w:eastAsia="Times New Roman" w:hAnsi="Aptos" w:cs="Calibri"/>
          <w:i/>
          <w:iCs/>
          <w:kern w:val="0"/>
          <w:sz w:val="22"/>
          <w:szCs w:val="22"/>
          <w:lang w:val="es-AR" w:eastAsia="es-ES"/>
          <w14:ligatures w14:val="none"/>
        </w:rPr>
        <w:t>BCBA</w:t>
      </w:r>
      <w:r w:rsidRPr="00B52734">
        <w:rPr>
          <w:rFonts w:ascii="Aptos" w:eastAsia="Times New Roman" w:hAnsi="Aptos" w:cs="Calibri"/>
          <w:kern w:val="0"/>
          <w:sz w:val="22"/>
          <w:szCs w:val="22"/>
          <w:lang w:val="es-AR" w:eastAsia="es-ES"/>
          <w14:ligatures w14:val="none"/>
        </w:rPr>
        <w:t>”), en el Boletín Diario de A3 Mercados S.A. (“</w:t>
      </w:r>
      <w:r w:rsidRPr="00B52734">
        <w:rPr>
          <w:rFonts w:ascii="Aptos" w:eastAsia="Times New Roman" w:hAnsi="Aptos" w:cs="Calibri"/>
          <w:i/>
          <w:iCs/>
          <w:kern w:val="0"/>
          <w:sz w:val="22"/>
          <w:szCs w:val="22"/>
          <w:lang w:val="es-AR" w:eastAsia="es-ES"/>
          <w14:ligatures w14:val="none"/>
        </w:rPr>
        <w:t>A3 Mercados</w:t>
      </w:r>
      <w:r w:rsidRPr="00B52734">
        <w:rPr>
          <w:rFonts w:ascii="Aptos" w:eastAsia="Times New Roman" w:hAnsi="Aptos" w:cs="Calibri"/>
          <w:kern w:val="0"/>
          <w:sz w:val="22"/>
          <w:szCs w:val="22"/>
          <w:lang w:val="es-AR" w:eastAsia="es-ES"/>
          <w14:ligatures w14:val="none"/>
        </w:rPr>
        <w:t>”) y en el micrositio web de A3 Mercados y en la autopista de información financiera (“</w:t>
      </w:r>
      <w:r w:rsidRPr="00B52734">
        <w:rPr>
          <w:rFonts w:ascii="Aptos" w:eastAsia="Times New Roman" w:hAnsi="Aptos" w:cs="Calibri"/>
          <w:i/>
          <w:iCs/>
          <w:kern w:val="0"/>
          <w:sz w:val="22"/>
          <w:szCs w:val="22"/>
          <w:lang w:val="es-AR" w:eastAsia="es-ES"/>
          <w14:ligatures w14:val="none"/>
        </w:rPr>
        <w:t>AIF</w:t>
      </w:r>
      <w:r w:rsidRPr="00B52734">
        <w:rPr>
          <w:rFonts w:ascii="Aptos" w:eastAsia="Times New Roman" w:hAnsi="Aptos" w:cs="Calibri"/>
          <w:kern w:val="0"/>
          <w:sz w:val="22"/>
          <w:szCs w:val="22"/>
          <w:lang w:val="es-AR" w:eastAsia="es-ES"/>
          <w14:ligatures w14:val="none"/>
        </w:rPr>
        <w:t>”); (</w:t>
      </w:r>
      <w:proofErr w:type="spellStart"/>
      <w:r w:rsidRPr="00B52734">
        <w:rPr>
          <w:rFonts w:ascii="Aptos" w:eastAsia="Times New Roman" w:hAnsi="Aptos" w:cs="Calibri"/>
          <w:kern w:val="0"/>
          <w:sz w:val="22"/>
          <w:szCs w:val="22"/>
          <w:lang w:val="es-AR" w:eastAsia="es-ES"/>
          <w14:ligatures w14:val="none"/>
        </w:rPr>
        <w:t>ii</w:t>
      </w:r>
      <w:proofErr w:type="spellEnd"/>
      <w:r w:rsidRPr="00B52734">
        <w:rPr>
          <w:rFonts w:ascii="Aptos" w:eastAsia="Times New Roman" w:hAnsi="Aptos" w:cs="Calibri"/>
          <w:kern w:val="0"/>
          <w:sz w:val="22"/>
          <w:szCs w:val="22"/>
          <w:lang w:val="es-AR" w:eastAsia="es-ES"/>
          <w14:ligatures w14:val="none"/>
        </w:rPr>
        <w:t>) el suplemento de Prospecto de fecha 4 de julio de 2025 (el “</w:t>
      </w:r>
      <w:r w:rsidRPr="00B52734">
        <w:rPr>
          <w:rFonts w:ascii="Aptos" w:eastAsia="Times New Roman" w:hAnsi="Aptos" w:cs="Calibri"/>
          <w:i/>
          <w:iCs/>
          <w:kern w:val="0"/>
          <w:sz w:val="22"/>
          <w:szCs w:val="22"/>
          <w:lang w:val="es-AR" w:eastAsia="es-ES"/>
          <w14:ligatures w14:val="none"/>
        </w:rPr>
        <w:t>Suplemento</w:t>
      </w:r>
      <w:r w:rsidRPr="00B52734">
        <w:rPr>
          <w:rFonts w:ascii="Aptos" w:eastAsia="Times New Roman" w:hAnsi="Aptos" w:cs="Calibri"/>
          <w:kern w:val="0"/>
          <w:sz w:val="22"/>
          <w:szCs w:val="22"/>
          <w:lang w:val="es-AR" w:eastAsia="es-ES"/>
          <w14:ligatures w14:val="none"/>
        </w:rPr>
        <w:t xml:space="preserve">”) que fuera </w:t>
      </w:r>
      <w:r w:rsidRPr="00B52734">
        <w:rPr>
          <w:rFonts w:ascii="Aptos" w:eastAsia="Times New Roman" w:hAnsi="Aptos" w:cs="Calibri"/>
          <w:kern w:val="0"/>
          <w:sz w:val="22"/>
          <w:szCs w:val="22"/>
          <w:lang w:val="es-AR" w:eastAsia="es-ES"/>
          <w14:ligatures w14:val="none"/>
        </w:rPr>
        <w:lastRenderedPageBreak/>
        <w:t>publicado en la misma fecha en el boletín diario de la BCBA, en el Boletín Diario de A3 Mercados y en el micrositio web de A3 Mercados y en la AIF; (iii) el aviso de suscripción de fecha 4 de julio de 2025 (el “</w:t>
      </w:r>
      <w:r w:rsidRPr="00B52734">
        <w:rPr>
          <w:rFonts w:ascii="Aptos" w:eastAsia="Times New Roman" w:hAnsi="Aptos" w:cs="Calibri"/>
          <w:i/>
          <w:iCs/>
          <w:kern w:val="0"/>
          <w:sz w:val="22"/>
          <w:szCs w:val="22"/>
          <w:lang w:val="es-AR" w:eastAsia="es-ES"/>
          <w14:ligatures w14:val="none"/>
        </w:rPr>
        <w:t>Aviso de Suscripción</w:t>
      </w:r>
      <w:r w:rsidRPr="00B52734">
        <w:rPr>
          <w:rFonts w:ascii="Aptos" w:eastAsia="Times New Roman" w:hAnsi="Aptos" w:cs="Calibri"/>
          <w:kern w:val="0"/>
          <w:sz w:val="22"/>
          <w:szCs w:val="22"/>
          <w:lang w:val="es-AR" w:eastAsia="es-ES"/>
          <w14:ligatures w14:val="none"/>
        </w:rPr>
        <w:t>” y, junto al Prospecto, el</w:t>
      </w:r>
      <w:r w:rsidRPr="00B52734">
        <w:rPr>
          <w:rFonts w:ascii="Calibri" w:eastAsia="Times New Roman" w:hAnsi="Calibri" w:cs="Calibri"/>
          <w:kern w:val="0"/>
          <w:sz w:val="22"/>
          <w:szCs w:val="22"/>
          <w:lang w:val="es-AR" w:eastAsia="es-ES"/>
          <w14:ligatures w14:val="none"/>
        </w:rPr>
        <w:t xml:space="preserve"> </w:t>
      </w:r>
      <w:r w:rsidRPr="00B52734">
        <w:rPr>
          <w:rFonts w:ascii="Aptos" w:eastAsia="Times New Roman" w:hAnsi="Aptos" w:cs="Calibri"/>
          <w:kern w:val="0"/>
          <w:sz w:val="22"/>
          <w:szCs w:val="22"/>
          <w:lang w:val="es-AR" w:eastAsia="es-ES"/>
          <w14:ligatures w14:val="none"/>
        </w:rPr>
        <w:t xml:space="preserve">Suplemento y cualquier aviso </w:t>
      </w:r>
      <w:proofErr w:type="spellStart"/>
      <w:r w:rsidRPr="00B52734">
        <w:rPr>
          <w:rFonts w:ascii="Aptos" w:eastAsia="Times New Roman" w:hAnsi="Aptos" w:cs="Calibri"/>
          <w:kern w:val="0"/>
          <w:sz w:val="22"/>
          <w:szCs w:val="22"/>
          <w:lang w:val="es-AR" w:eastAsia="es-ES"/>
          <w14:ligatures w14:val="none"/>
        </w:rPr>
        <w:t>rectificatorio</w:t>
      </w:r>
      <w:proofErr w:type="spellEnd"/>
      <w:r w:rsidRPr="00B52734">
        <w:rPr>
          <w:rFonts w:ascii="Aptos" w:eastAsia="Times New Roman" w:hAnsi="Aptos" w:cs="Calibri"/>
          <w:kern w:val="0"/>
          <w:sz w:val="22"/>
          <w:szCs w:val="22"/>
          <w:lang w:val="es-AR" w:eastAsia="es-ES"/>
          <w14:ligatures w14:val="none"/>
        </w:rPr>
        <w:t xml:space="preserve"> y/o complementario que fuera a  publicarse de tiempo en tiempo, los “</w:t>
      </w:r>
      <w:r w:rsidRPr="00B52734">
        <w:rPr>
          <w:rFonts w:ascii="Aptos" w:eastAsia="Times New Roman" w:hAnsi="Aptos" w:cs="Calibri"/>
          <w:i/>
          <w:iCs/>
          <w:kern w:val="0"/>
          <w:sz w:val="22"/>
          <w:szCs w:val="22"/>
          <w:lang w:val="es-AR" w:eastAsia="es-ES"/>
          <w14:ligatures w14:val="none"/>
        </w:rPr>
        <w:t>Documentos de la Oferta</w:t>
      </w:r>
      <w:r w:rsidRPr="00B52734">
        <w:rPr>
          <w:rFonts w:ascii="Aptos" w:eastAsia="Times New Roman" w:hAnsi="Aptos" w:cs="Calibri"/>
          <w:kern w:val="0"/>
          <w:sz w:val="22"/>
          <w:szCs w:val="22"/>
          <w:lang w:val="es-AR" w:eastAsia="es-ES"/>
          <w14:ligatures w14:val="none"/>
        </w:rPr>
        <w:t>”) que fuera publicado en la misma fecha en el boletín diario de la BCBA, en el Boletín Diario de A3 Mercados y en el micrositio web de A3 Mercados y en la AIF; a los efectos de solicitar mediante la presente orden de compra (la “</w:t>
      </w:r>
      <w:r w:rsidRPr="00B52734">
        <w:rPr>
          <w:rFonts w:ascii="Aptos" w:eastAsia="Times New Roman" w:hAnsi="Aptos" w:cs="Calibri"/>
          <w:i/>
          <w:iCs/>
          <w:kern w:val="0"/>
          <w:sz w:val="22"/>
          <w:szCs w:val="22"/>
          <w:lang w:val="es-AR" w:eastAsia="es-ES"/>
          <w14:ligatures w14:val="none"/>
        </w:rPr>
        <w:t>Orden de Compra</w:t>
      </w:r>
      <w:r w:rsidRPr="00B52734">
        <w:rPr>
          <w:rFonts w:ascii="Aptos" w:eastAsia="Times New Roman" w:hAnsi="Aptos" w:cs="Calibri"/>
          <w:kern w:val="0"/>
          <w:sz w:val="22"/>
          <w:szCs w:val="22"/>
          <w:lang w:val="es-AR" w:eastAsia="es-ES"/>
          <w14:ligatures w14:val="none"/>
        </w:rPr>
        <w:t>”) la suscripción de las Obligaciones Negociables que se indican más abajo, en los términos y condiciones que se describen en los Documentos de la Oferta, que el Oferente declara conocer y aceptar.</w:t>
      </w:r>
    </w:p>
    <w:bookmarkEnd w:id="3"/>
    <w:p w14:paraId="1D8F0108" w14:textId="77777777" w:rsidR="00032352" w:rsidRPr="00B52734" w:rsidRDefault="00032352" w:rsidP="00032352">
      <w:pPr>
        <w:spacing w:after="0" w:line="240" w:lineRule="auto"/>
        <w:ind w:firstLineChars="322" w:firstLine="708"/>
        <w:jc w:val="both"/>
        <w:rPr>
          <w:rFonts w:ascii="Aptos" w:eastAsia="Times New Roman" w:hAnsi="Aptos" w:cs="Calibri"/>
          <w:kern w:val="0"/>
          <w:sz w:val="22"/>
          <w:szCs w:val="22"/>
          <w:lang w:val="es-AR" w:eastAsia="es-ES"/>
          <w14:ligatures w14:val="none"/>
        </w:rPr>
      </w:pPr>
    </w:p>
    <w:p w14:paraId="12274D80" w14:textId="77777777" w:rsidR="00032352" w:rsidRPr="00B52734" w:rsidRDefault="00032352" w:rsidP="00032352">
      <w:pPr>
        <w:spacing w:after="0" w:line="240" w:lineRule="auto"/>
        <w:ind w:firstLineChars="322"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Los términos en mayúscula aquí utilizados y no definidos en el presente tendrán el significado asignado en los Documentos de la Oferta. </w:t>
      </w:r>
    </w:p>
    <w:p w14:paraId="08D4E6D1" w14:textId="77777777" w:rsidR="00032352" w:rsidRPr="00B52734" w:rsidRDefault="00032352" w:rsidP="00032352">
      <w:pPr>
        <w:spacing w:after="0" w:line="240" w:lineRule="auto"/>
        <w:ind w:firstLineChars="322" w:firstLine="708"/>
        <w:jc w:val="both"/>
        <w:rPr>
          <w:rFonts w:ascii="Calibri" w:eastAsia="Times New Roman" w:hAnsi="Calibri" w:cs="Calibri"/>
          <w:kern w:val="0"/>
          <w:sz w:val="22"/>
          <w:szCs w:val="22"/>
          <w:lang w:val="es-AR" w:eastAsia="es-ES"/>
          <w14:ligatures w14:val="none"/>
        </w:rPr>
      </w:pPr>
    </w:p>
    <w:p w14:paraId="6AA7A60E" w14:textId="77777777" w:rsidR="00032352" w:rsidRPr="00B52734" w:rsidRDefault="00032352" w:rsidP="00032352">
      <w:pPr>
        <w:widowControl w:val="0"/>
        <w:numPr>
          <w:ilvl w:val="0"/>
          <w:numId w:val="2"/>
        </w:numPr>
        <w:spacing w:after="0" w:line="240" w:lineRule="atLeast"/>
        <w:ind w:right="-17"/>
        <w:contextualSpacing/>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u w:val="single"/>
          <w:lang w:val="es-AR" w:eastAsia="es-ES"/>
          <w14:ligatures w14:val="none"/>
        </w:rPr>
        <w:t xml:space="preserve">Orden Obligaciones Negociables Clase XXII </w:t>
      </w:r>
    </w:p>
    <w:p w14:paraId="3C9A67E3" w14:textId="77777777" w:rsidR="00032352" w:rsidRPr="00B52734" w:rsidRDefault="00032352" w:rsidP="00032352">
      <w:pPr>
        <w:widowControl w:val="0"/>
        <w:spacing w:after="0" w:line="240" w:lineRule="atLeast"/>
        <w:ind w:right="-17"/>
        <w:jc w:val="both"/>
        <w:rPr>
          <w:rFonts w:ascii="Aptos" w:eastAsia="Times New Roman" w:hAnsi="Aptos" w:cs="Calibri"/>
          <w:kern w:val="0"/>
          <w:sz w:val="22"/>
          <w:szCs w:val="22"/>
          <w:u w:val="single"/>
          <w:lang w:val="es-AR" w:eastAsia="es-ES"/>
          <w14:ligatures w14:val="none"/>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
        <w:gridCol w:w="1134"/>
        <w:gridCol w:w="1418"/>
        <w:gridCol w:w="1701"/>
        <w:gridCol w:w="1844"/>
      </w:tblGrid>
      <w:tr w:rsidR="00032352" w:rsidRPr="00B52734" w14:paraId="5DBA9719" w14:textId="77777777" w:rsidTr="002E2C97">
        <w:trPr>
          <w:trHeight w:val="258"/>
          <w:jc w:val="center"/>
        </w:trPr>
        <w:tc>
          <w:tcPr>
            <w:tcW w:w="9215" w:type="dxa"/>
            <w:gridSpan w:val="6"/>
            <w:shd w:val="clear" w:color="auto" w:fill="CCCCCC"/>
          </w:tcPr>
          <w:p w14:paraId="0A905286" w14:textId="77777777" w:rsidR="00032352" w:rsidRPr="00B52734" w:rsidRDefault="00032352" w:rsidP="00032352">
            <w:pPr>
              <w:spacing w:after="0" w:line="240" w:lineRule="auto"/>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OBLIGACIONES NEGOCIABLES CLASE XXII</w:t>
            </w:r>
          </w:p>
        </w:tc>
      </w:tr>
      <w:tr w:rsidR="00032352" w:rsidRPr="00B52734" w14:paraId="6D382310" w14:textId="77777777" w:rsidTr="002E2C97">
        <w:tblPrEx>
          <w:tblLook w:val="0000" w:firstRow="0" w:lastRow="0" w:firstColumn="0" w:lastColumn="0" w:noHBand="0" w:noVBand="0"/>
        </w:tblPrEx>
        <w:trPr>
          <w:trHeight w:val="116"/>
          <w:jc w:val="center"/>
        </w:trPr>
        <w:tc>
          <w:tcPr>
            <w:tcW w:w="9215" w:type="dxa"/>
            <w:gridSpan w:val="6"/>
            <w:shd w:val="clear" w:color="auto" w:fill="D9D9D9"/>
            <w:vAlign w:val="center"/>
          </w:tcPr>
          <w:p w14:paraId="5A4391AB" w14:textId="77777777" w:rsidR="00032352" w:rsidRPr="00B52734" w:rsidRDefault="00032352" w:rsidP="00032352">
            <w:pPr>
              <w:spacing w:after="0" w:line="240" w:lineRule="auto"/>
              <w:ind w:left="-76" w:right="-271"/>
              <w:jc w:val="both"/>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Tramo Competitivo</w:t>
            </w:r>
          </w:p>
        </w:tc>
      </w:tr>
      <w:tr w:rsidR="00032352" w:rsidRPr="00B52734" w14:paraId="580E87D4" w14:textId="77777777" w:rsidTr="002E2C97">
        <w:tblPrEx>
          <w:tblLook w:val="0000" w:firstRow="0" w:lastRow="0" w:firstColumn="0" w:lastColumn="0" w:noHBand="0" w:noVBand="0"/>
        </w:tblPrEx>
        <w:trPr>
          <w:trHeight w:val="314"/>
          <w:jc w:val="center"/>
        </w:trPr>
        <w:tc>
          <w:tcPr>
            <w:tcW w:w="1843" w:type="dxa"/>
            <w:vAlign w:val="center"/>
          </w:tcPr>
          <w:p w14:paraId="1DA603C4"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Valor Nominal solicitado (1)</w:t>
            </w:r>
          </w:p>
        </w:tc>
        <w:tc>
          <w:tcPr>
            <w:tcW w:w="1275" w:type="dxa"/>
            <w:vAlign w:val="center"/>
          </w:tcPr>
          <w:p w14:paraId="04EB3FDD" w14:textId="77777777" w:rsidR="00032352" w:rsidRPr="00B52734" w:rsidRDefault="00032352" w:rsidP="00032352">
            <w:pPr>
              <w:spacing w:after="0" w:line="240" w:lineRule="atLeast"/>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Margen Solicitado (2)</w:t>
            </w:r>
          </w:p>
        </w:tc>
        <w:tc>
          <w:tcPr>
            <w:tcW w:w="1134" w:type="dxa"/>
            <w:vAlign w:val="center"/>
          </w:tcPr>
          <w:p w14:paraId="4FFDA39A"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Cuenta</w:t>
            </w:r>
          </w:p>
          <w:p w14:paraId="507A2C20"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Comitente</w:t>
            </w:r>
          </w:p>
        </w:tc>
        <w:tc>
          <w:tcPr>
            <w:tcW w:w="1418" w:type="dxa"/>
            <w:vAlign w:val="center"/>
          </w:tcPr>
          <w:p w14:paraId="79FBB804" w14:textId="77777777" w:rsidR="00032352" w:rsidRPr="00B52734" w:rsidRDefault="00032352" w:rsidP="00032352">
            <w:pPr>
              <w:spacing w:after="0" w:line="240" w:lineRule="atLeast"/>
              <w:jc w:val="center"/>
              <w:rPr>
                <w:rFonts w:ascii="Times New Roman" w:eastAsia="Arial Unicode MS" w:hAnsi="Times New Roman" w:cs="Times New Roman"/>
                <w:kern w:val="0"/>
                <w:lang w:val="es-AR" w:eastAsia="es-ES"/>
                <w14:ligatures w14:val="none"/>
              </w:rPr>
            </w:pPr>
            <w:proofErr w:type="spellStart"/>
            <w:r w:rsidRPr="00B52734">
              <w:rPr>
                <w:rFonts w:ascii="Times New Roman" w:eastAsia="Arial Unicode MS" w:hAnsi="Times New Roman" w:cs="Times New Roman"/>
                <w:kern w:val="0"/>
                <w:lang w:val="es-AR" w:eastAsia="es-ES"/>
                <w14:ligatures w14:val="none"/>
              </w:rPr>
              <w:t>N°</w:t>
            </w:r>
            <w:proofErr w:type="spellEnd"/>
            <w:r w:rsidRPr="00B52734">
              <w:rPr>
                <w:rFonts w:ascii="Times New Roman" w:eastAsia="Arial Unicode MS" w:hAnsi="Times New Roman" w:cs="Times New Roman"/>
                <w:kern w:val="0"/>
                <w:lang w:val="es-AR" w:eastAsia="es-ES"/>
                <w14:ligatures w14:val="none"/>
              </w:rPr>
              <w:t xml:space="preserve"> Depositante</w:t>
            </w:r>
          </w:p>
        </w:tc>
        <w:tc>
          <w:tcPr>
            <w:tcW w:w="1701" w:type="dxa"/>
            <w:vAlign w:val="center"/>
          </w:tcPr>
          <w:p w14:paraId="48CF5CFA"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Nombre del Depositante</w:t>
            </w:r>
          </w:p>
        </w:tc>
        <w:tc>
          <w:tcPr>
            <w:tcW w:w="1844" w:type="dxa"/>
            <w:vAlign w:val="center"/>
          </w:tcPr>
          <w:p w14:paraId="562EAF79" w14:textId="77777777" w:rsidR="00032352" w:rsidRPr="00B52734" w:rsidRDefault="00032352" w:rsidP="00032352">
            <w:pPr>
              <w:spacing w:after="0" w:line="240" w:lineRule="atLeast"/>
              <w:ind w:left="3"/>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Porcentaje Máximo (3)</w:t>
            </w:r>
          </w:p>
        </w:tc>
      </w:tr>
      <w:tr w:rsidR="00032352" w:rsidRPr="00B52734" w14:paraId="3B0DDA13" w14:textId="77777777" w:rsidTr="002E2C97">
        <w:tblPrEx>
          <w:tblLook w:val="0000" w:firstRow="0" w:lastRow="0" w:firstColumn="0" w:lastColumn="0" w:noHBand="0" w:noVBand="0"/>
        </w:tblPrEx>
        <w:trPr>
          <w:trHeight w:val="336"/>
          <w:jc w:val="center"/>
        </w:trPr>
        <w:tc>
          <w:tcPr>
            <w:tcW w:w="1843" w:type="dxa"/>
            <w:vAlign w:val="center"/>
          </w:tcPr>
          <w:p w14:paraId="407DA5CF" w14:textId="77777777" w:rsidR="00032352" w:rsidRPr="00B52734" w:rsidRDefault="00032352" w:rsidP="00032352">
            <w:pPr>
              <w:spacing w:after="0" w:line="240" w:lineRule="atLeast"/>
              <w:ind w:left="66"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AR$ _____________________</w:t>
            </w:r>
          </w:p>
        </w:tc>
        <w:tc>
          <w:tcPr>
            <w:tcW w:w="1275" w:type="dxa"/>
            <w:vAlign w:val="center"/>
          </w:tcPr>
          <w:p w14:paraId="2F4ECF37" w14:textId="77777777" w:rsidR="00032352" w:rsidRPr="00B52734" w:rsidRDefault="00032352" w:rsidP="00032352">
            <w:pPr>
              <w:spacing w:after="0" w:line="240" w:lineRule="atLeast"/>
              <w:ind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_____%</w:t>
            </w:r>
          </w:p>
        </w:tc>
        <w:tc>
          <w:tcPr>
            <w:tcW w:w="1134" w:type="dxa"/>
            <w:vAlign w:val="center"/>
          </w:tcPr>
          <w:p w14:paraId="7D7042B9"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418" w:type="dxa"/>
            <w:vAlign w:val="center"/>
          </w:tcPr>
          <w:p w14:paraId="56BCB9ED"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701" w:type="dxa"/>
            <w:vAlign w:val="center"/>
          </w:tcPr>
          <w:p w14:paraId="2135A9B8"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844" w:type="dxa"/>
            <w:vAlign w:val="center"/>
          </w:tcPr>
          <w:p w14:paraId="22BCAB8C"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_____%</w:t>
            </w:r>
          </w:p>
        </w:tc>
      </w:tr>
      <w:tr w:rsidR="00032352" w:rsidRPr="00B52734" w14:paraId="72A7CF65" w14:textId="77777777" w:rsidTr="002E2C97">
        <w:tblPrEx>
          <w:tblLook w:val="0000" w:firstRow="0" w:lastRow="0" w:firstColumn="0" w:lastColumn="0" w:noHBand="0" w:noVBand="0"/>
        </w:tblPrEx>
        <w:trPr>
          <w:trHeight w:val="283"/>
          <w:jc w:val="center"/>
        </w:trPr>
        <w:tc>
          <w:tcPr>
            <w:tcW w:w="1843" w:type="dxa"/>
            <w:vAlign w:val="center"/>
          </w:tcPr>
          <w:p w14:paraId="1D73D7EE" w14:textId="77777777" w:rsidR="00032352" w:rsidRPr="00B52734" w:rsidRDefault="00032352" w:rsidP="00032352">
            <w:pPr>
              <w:spacing w:after="0" w:line="240" w:lineRule="atLeast"/>
              <w:ind w:left="66"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AR$_____________________</w:t>
            </w:r>
          </w:p>
        </w:tc>
        <w:tc>
          <w:tcPr>
            <w:tcW w:w="1275" w:type="dxa"/>
            <w:vAlign w:val="center"/>
          </w:tcPr>
          <w:p w14:paraId="002F94D0" w14:textId="77777777" w:rsidR="00032352" w:rsidRPr="00B52734" w:rsidRDefault="00032352" w:rsidP="00032352">
            <w:pPr>
              <w:spacing w:after="0" w:line="240" w:lineRule="atLeast"/>
              <w:ind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_____%</w:t>
            </w:r>
          </w:p>
        </w:tc>
        <w:tc>
          <w:tcPr>
            <w:tcW w:w="1134" w:type="dxa"/>
            <w:vAlign w:val="center"/>
          </w:tcPr>
          <w:p w14:paraId="3C6CB0C0"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418" w:type="dxa"/>
            <w:vAlign w:val="center"/>
          </w:tcPr>
          <w:p w14:paraId="30C590A4"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701" w:type="dxa"/>
            <w:vAlign w:val="center"/>
          </w:tcPr>
          <w:p w14:paraId="264AB21B"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844" w:type="dxa"/>
            <w:vAlign w:val="center"/>
          </w:tcPr>
          <w:p w14:paraId="1A9F7713"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_____%</w:t>
            </w:r>
          </w:p>
        </w:tc>
      </w:tr>
      <w:tr w:rsidR="00032352" w:rsidRPr="00B52734" w14:paraId="778FF768" w14:textId="77777777" w:rsidTr="002E2C97">
        <w:tblPrEx>
          <w:tblLook w:val="0000" w:firstRow="0" w:lastRow="0" w:firstColumn="0" w:lastColumn="0" w:noHBand="0" w:noVBand="0"/>
        </w:tblPrEx>
        <w:trPr>
          <w:trHeight w:val="116"/>
          <w:jc w:val="center"/>
        </w:trPr>
        <w:tc>
          <w:tcPr>
            <w:tcW w:w="9215" w:type="dxa"/>
            <w:gridSpan w:val="6"/>
            <w:shd w:val="clear" w:color="auto" w:fill="D9D9D9"/>
            <w:vAlign w:val="center"/>
          </w:tcPr>
          <w:p w14:paraId="2ACC3813" w14:textId="77777777" w:rsidR="00032352" w:rsidRPr="00B52734" w:rsidRDefault="00032352" w:rsidP="00032352">
            <w:pPr>
              <w:spacing w:after="0" w:line="240" w:lineRule="auto"/>
              <w:ind w:left="-76" w:right="-271"/>
              <w:jc w:val="both"/>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Tramo No Competitivo</w:t>
            </w:r>
          </w:p>
        </w:tc>
      </w:tr>
      <w:tr w:rsidR="00032352" w:rsidRPr="00B52734" w14:paraId="536ACCF3" w14:textId="77777777" w:rsidTr="002E2C97">
        <w:tblPrEx>
          <w:tblLook w:val="0000" w:firstRow="0" w:lastRow="0" w:firstColumn="0" w:lastColumn="0" w:noHBand="0" w:noVBand="0"/>
        </w:tblPrEx>
        <w:trPr>
          <w:trHeight w:val="314"/>
          <w:jc w:val="center"/>
        </w:trPr>
        <w:tc>
          <w:tcPr>
            <w:tcW w:w="3118" w:type="dxa"/>
            <w:gridSpan w:val="2"/>
            <w:vAlign w:val="center"/>
          </w:tcPr>
          <w:p w14:paraId="69134E0F" w14:textId="77777777" w:rsidR="00032352" w:rsidRPr="00B52734" w:rsidRDefault="00032352" w:rsidP="00032352">
            <w:pPr>
              <w:spacing w:after="0" w:line="240" w:lineRule="atLeast"/>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Valor Nominal solicitado (1)</w:t>
            </w:r>
          </w:p>
        </w:tc>
        <w:tc>
          <w:tcPr>
            <w:tcW w:w="1134" w:type="dxa"/>
            <w:vAlign w:val="center"/>
          </w:tcPr>
          <w:p w14:paraId="24A68A44"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Cuenta</w:t>
            </w:r>
          </w:p>
          <w:p w14:paraId="24130D00"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Comitente</w:t>
            </w:r>
          </w:p>
        </w:tc>
        <w:tc>
          <w:tcPr>
            <w:tcW w:w="1418" w:type="dxa"/>
            <w:vAlign w:val="center"/>
          </w:tcPr>
          <w:p w14:paraId="09E6789E" w14:textId="77777777" w:rsidR="00032352" w:rsidRPr="00B52734" w:rsidRDefault="00032352" w:rsidP="00032352">
            <w:pPr>
              <w:spacing w:after="0" w:line="240" w:lineRule="atLeast"/>
              <w:jc w:val="center"/>
              <w:rPr>
                <w:rFonts w:ascii="Times New Roman" w:eastAsia="Arial Unicode MS" w:hAnsi="Times New Roman" w:cs="Times New Roman"/>
                <w:kern w:val="0"/>
                <w:lang w:val="es-AR" w:eastAsia="es-ES"/>
                <w14:ligatures w14:val="none"/>
              </w:rPr>
            </w:pPr>
            <w:proofErr w:type="spellStart"/>
            <w:r w:rsidRPr="00B52734">
              <w:rPr>
                <w:rFonts w:ascii="Times New Roman" w:eastAsia="Arial Unicode MS" w:hAnsi="Times New Roman" w:cs="Times New Roman"/>
                <w:kern w:val="0"/>
                <w:lang w:val="es-AR" w:eastAsia="es-ES"/>
                <w14:ligatures w14:val="none"/>
              </w:rPr>
              <w:t>N°</w:t>
            </w:r>
            <w:proofErr w:type="spellEnd"/>
            <w:r w:rsidRPr="00B52734">
              <w:rPr>
                <w:rFonts w:ascii="Times New Roman" w:eastAsia="Arial Unicode MS" w:hAnsi="Times New Roman" w:cs="Times New Roman"/>
                <w:kern w:val="0"/>
                <w:lang w:val="es-AR" w:eastAsia="es-ES"/>
                <w14:ligatures w14:val="none"/>
              </w:rPr>
              <w:t xml:space="preserve"> Depositante</w:t>
            </w:r>
          </w:p>
        </w:tc>
        <w:tc>
          <w:tcPr>
            <w:tcW w:w="3545" w:type="dxa"/>
            <w:gridSpan w:val="2"/>
            <w:vAlign w:val="center"/>
          </w:tcPr>
          <w:p w14:paraId="69AE010A" w14:textId="77777777" w:rsidR="00032352" w:rsidRPr="00B52734" w:rsidRDefault="00032352" w:rsidP="00032352">
            <w:pPr>
              <w:spacing w:after="0" w:line="240" w:lineRule="atLeast"/>
              <w:ind w:left="3"/>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Nombre del Depositante</w:t>
            </w:r>
          </w:p>
        </w:tc>
      </w:tr>
      <w:tr w:rsidR="00032352" w:rsidRPr="00B52734" w14:paraId="0C3C26F6" w14:textId="77777777" w:rsidTr="002E2C97">
        <w:tblPrEx>
          <w:tblLook w:val="0000" w:firstRow="0" w:lastRow="0" w:firstColumn="0" w:lastColumn="0" w:noHBand="0" w:noVBand="0"/>
        </w:tblPrEx>
        <w:trPr>
          <w:trHeight w:val="336"/>
          <w:jc w:val="center"/>
        </w:trPr>
        <w:tc>
          <w:tcPr>
            <w:tcW w:w="3118" w:type="dxa"/>
            <w:gridSpan w:val="2"/>
            <w:vAlign w:val="center"/>
          </w:tcPr>
          <w:p w14:paraId="43456AD5" w14:textId="77777777" w:rsidR="00032352" w:rsidRPr="00B52734" w:rsidRDefault="00032352" w:rsidP="00032352">
            <w:pPr>
              <w:spacing w:after="0" w:line="240" w:lineRule="atLeast"/>
              <w:ind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AR$ _____________________</w:t>
            </w:r>
          </w:p>
        </w:tc>
        <w:tc>
          <w:tcPr>
            <w:tcW w:w="1134" w:type="dxa"/>
            <w:vAlign w:val="center"/>
          </w:tcPr>
          <w:p w14:paraId="59203E13"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418" w:type="dxa"/>
            <w:vAlign w:val="center"/>
          </w:tcPr>
          <w:p w14:paraId="44FA50CB"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3545" w:type="dxa"/>
            <w:gridSpan w:val="2"/>
            <w:vAlign w:val="center"/>
          </w:tcPr>
          <w:p w14:paraId="51FA592E"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r>
      <w:tr w:rsidR="00032352" w:rsidRPr="00B52734" w14:paraId="25A14B4F" w14:textId="77777777" w:rsidTr="002E2C97">
        <w:tblPrEx>
          <w:tblLook w:val="0000" w:firstRow="0" w:lastRow="0" w:firstColumn="0" w:lastColumn="0" w:noHBand="0" w:noVBand="0"/>
        </w:tblPrEx>
        <w:trPr>
          <w:trHeight w:val="283"/>
          <w:jc w:val="center"/>
        </w:trPr>
        <w:tc>
          <w:tcPr>
            <w:tcW w:w="3118" w:type="dxa"/>
            <w:gridSpan w:val="2"/>
            <w:vAlign w:val="center"/>
          </w:tcPr>
          <w:p w14:paraId="7AAF5865" w14:textId="77777777" w:rsidR="00032352" w:rsidRPr="00B52734" w:rsidRDefault="00032352" w:rsidP="00032352">
            <w:pPr>
              <w:spacing w:after="0" w:line="240" w:lineRule="atLeast"/>
              <w:ind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AR$_____________________</w:t>
            </w:r>
          </w:p>
        </w:tc>
        <w:tc>
          <w:tcPr>
            <w:tcW w:w="1134" w:type="dxa"/>
            <w:vAlign w:val="center"/>
          </w:tcPr>
          <w:p w14:paraId="33DF2144"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418" w:type="dxa"/>
            <w:vAlign w:val="center"/>
          </w:tcPr>
          <w:p w14:paraId="120BE9E0"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3545" w:type="dxa"/>
            <w:gridSpan w:val="2"/>
            <w:vAlign w:val="center"/>
          </w:tcPr>
          <w:p w14:paraId="6E17E461"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r>
    </w:tbl>
    <w:p w14:paraId="37D2E918" w14:textId="77777777" w:rsidR="00032352" w:rsidRPr="00B52734" w:rsidRDefault="00032352" w:rsidP="00032352">
      <w:pPr>
        <w:spacing w:after="0" w:line="240" w:lineRule="atLeast"/>
        <w:ind w:left="-142" w:right="-17"/>
        <w:jc w:val="both"/>
        <w:rPr>
          <w:rFonts w:ascii="Times New Roman" w:eastAsia="Arial Unicode MS" w:hAnsi="Times New Roman" w:cs="Times New Roman"/>
          <w:kern w:val="0"/>
          <w:lang w:val="es-AR" w:eastAsia="es-ES"/>
          <w14:ligatures w14:val="none"/>
        </w:rPr>
      </w:pPr>
    </w:p>
    <w:p w14:paraId="31451DEE" w14:textId="77777777" w:rsidR="00032352" w:rsidRPr="00B52734" w:rsidRDefault="00032352" w:rsidP="00032352">
      <w:pPr>
        <w:widowControl w:val="0"/>
        <w:numPr>
          <w:ilvl w:val="0"/>
          <w:numId w:val="3"/>
        </w:numPr>
        <w:spacing w:after="0" w:line="240" w:lineRule="atLeast"/>
        <w:ind w:right="-17"/>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lang w:val="es-AR" w:eastAsia="es-ES"/>
          <w14:ligatures w14:val="none"/>
        </w:rPr>
        <w:t>Expresado en Pesos. Monto Mínimo de Suscripción de las Obligaciones Negociables Clase XXII será por importes equivalentes a V/N $1.000.000 (Pesos un millón) y múltiplos de V/N $1 (Pesos uno) por encima de dicho monto.</w:t>
      </w:r>
    </w:p>
    <w:p w14:paraId="4399EFA1" w14:textId="77777777" w:rsidR="00032352" w:rsidRPr="00B52734" w:rsidRDefault="00032352" w:rsidP="00032352">
      <w:pPr>
        <w:widowControl w:val="0"/>
        <w:numPr>
          <w:ilvl w:val="0"/>
          <w:numId w:val="3"/>
        </w:numPr>
        <w:spacing w:after="0" w:line="240" w:lineRule="atLeast"/>
        <w:ind w:right="-17"/>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lang w:val="es-AR" w:eastAsia="es-ES"/>
          <w14:ligatures w14:val="none"/>
        </w:rPr>
        <w:t>Expresada como porcentaje anual truncado a dos decimales.</w:t>
      </w:r>
    </w:p>
    <w:p w14:paraId="038AC7DD" w14:textId="77777777" w:rsidR="00032352" w:rsidRPr="00B52734" w:rsidRDefault="00032352" w:rsidP="00032352">
      <w:pPr>
        <w:widowControl w:val="0"/>
        <w:spacing w:after="0" w:line="240" w:lineRule="atLeast"/>
        <w:ind w:right="-17"/>
        <w:jc w:val="both"/>
        <w:rPr>
          <w:rFonts w:ascii="Calibri" w:eastAsia="Times New Roman" w:hAnsi="Calibri" w:cs="Calibri"/>
          <w:kern w:val="0"/>
          <w:sz w:val="22"/>
          <w:szCs w:val="22"/>
          <w:lang w:val="es-AR" w:eastAsia="es-ES"/>
          <w14:ligatures w14:val="none"/>
        </w:rPr>
      </w:pPr>
    </w:p>
    <w:p w14:paraId="7E220AA0" w14:textId="77777777" w:rsidR="00032352" w:rsidRPr="00B52734" w:rsidRDefault="00032352" w:rsidP="00032352">
      <w:pPr>
        <w:widowControl w:val="0"/>
        <w:numPr>
          <w:ilvl w:val="0"/>
          <w:numId w:val="2"/>
        </w:numPr>
        <w:spacing w:after="0" w:line="240" w:lineRule="atLeast"/>
        <w:ind w:right="-17"/>
        <w:contextualSpacing/>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u w:val="single"/>
          <w:lang w:val="es-AR" w:eastAsia="es-ES"/>
          <w14:ligatures w14:val="none"/>
        </w:rPr>
        <w:t xml:space="preserve">Orden Obligaciones Negociables Clase XXIII </w:t>
      </w:r>
    </w:p>
    <w:p w14:paraId="7AFE95CE" w14:textId="77777777" w:rsidR="00032352" w:rsidRPr="00B52734" w:rsidRDefault="00032352" w:rsidP="00032352">
      <w:pPr>
        <w:widowControl w:val="0"/>
        <w:spacing w:after="0" w:line="240" w:lineRule="atLeast"/>
        <w:ind w:right="-17"/>
        <w:contextualSpacing/>
        <w:jc w:val="both"/>
        <w:rPr>
          <w:rFonts w:ascii="Aptos" w:eastAsia="Times New Roman" w:hAnsi="Aptos" w:cs="Calibri"/>
          <w:kern w:val="0"/>
          <w:sz w:val="22"/>
          <w:szCs w:val="22"/>
          <w:lang w:val="es-AR" w:eastAsia="es-ES"/>
          <w14:ligatures w14:val="none"/>
        </w:rPr>
      </w:pPr>
    </w:p>
    <w:p w14:paraId="13C5FF71" w14:textId="77777777" w:rsidR="00032352" w:rsidRPr="00B52734" w:rsidRDefault="00032352" w:rsidP="00032352">
      <w:pPr>
        <w:widowControl w:val="0"/>
        <w:numPr>
          <w:ilvl w:val="0"/>
          <w:numId w:val="4"/>
        </w:numPr>
        <w:spacing w:after="0" w:line="240" w:lineRule="atLeast"/>
        <w:ind w:right="-17"/>
        <w:contextualSpacing/>
        <w:jc w:val="both"/>
        <w:rPr>
          <w:rFonts w:ascii="Aptos" w:eastAsia="Times New Roman" w:hAnsi="Aptos" w:cs="Calibri"/>
          <w:b/>
          <w:bCs/>
          <w:kern w:val="0"/>
          <w:sz w:val="22"/>
          <w:szCs w:val="22"/>
          <w:lang w:val="es-AR" w:eastAsia="es-ES"/>
          <w14:ligatures w14:val="none"/>
        </w:rPr>
      </w:pPr>
      <w:r w:rsidRPr="00B52734">
        <w:rPr>
          <w:rFonts w:ascii="Aptos" w:eastAsia="Times New Roman" w:hAnsi="Aptos" w:cs="Calibri"/>
          <w:b/>
          <w:bCs/>
          <w:kern w:val="0"/>
          <w:sz w:val="22"/>
          <w:szCs w:val="22"/>
          <w:lang w:val="es-AR" w:eastAsia="es-ES"/>
          <w14:ligatures w14:val="none"/>
        </w:rPr>
        <w:t>Integración en efectivo:</w:t>
      </w:r>
    </w:p>
    <w:p w14:paraId="2DE5526A" w14:textId="77777777" w:rsidR="00032352" w:rsidRPr="00B52734" w:rsidRDefault="00032352" w:rsidP="00032352">
      <w:pPr>
        <w:widowControl w:val="0"/>
        <w:spacing w:after="0" w:line="240" w:lineRule="atLeast"/>
        <w:ind w:left="1080" w:right="-17"/>
        <w:contextualSpacing/>
        <w:jc w:val="both"/>
        <w:rPr>
          <w:rFonts w:ascii="Aptos" w:eastAsia="Times New Roman" w:hAnsi="Aptos" w:cs="Calibri"/>
          <w:b/>
          <w:bCs/>
          <w:kern w:val="0"/>
          <w:sz w:val="22"/>
          <w:szCs w:val="22"/>
          <w:lang w:val="es-AR" w:eastAsia="es-ES"/>
          <w14:ligatures w14:val="none"/>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275"/>
        <w:gridCol w:w="1134"/>
        <w:gridCol w:w="1418"/>
        <w:gridCol w:w="1701"/>
        <w:gridCol w:w="1844"/>
      </w:tblGrid>
      <w:tr w:rsidR="00032352" w:rsidRPr="00B52734" w14:paraId="3D34F411" w14:textId="77777777" w:rsidTr="002E2C97">
        <w:trPr>
          <w:trHeight w:val="258"/>
          <w:jc w:val="center"/>
        </w:trPr>
        <w:tc>
          <w:tcPr>
            <w:tcW w:w="9215" w:type="dxa"/>
            <w:gridSpan w:val="6"/>
            <w:shd w:val="clear" w:color="auto" w:fill="CCCCCC"/>
          </w:tcPr>
          <w:p w14:paraId="51978778" w14:textId="77777777" w:rsidR="00032352" w:rsidRPr="00B52734" w:rsidRDefault="00032352" w:rsidP="00032352">
            <w:pPr>
              <w:spacing w:after="0" w:line="240" w:lineRule="auto"/>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OBLIGACIONES NEGOCIABLES CLASE XXIII</w:t>
            </w:r>
          </w:p>
        </w:tc>
      </w:tr>
      <w:tr w:rsidR="00032352" w:rsidRPr="00B52734" w14:paraId="67EC1661" w14:textId="77777777" w:rsidTr="002E2C97">
        <w:tblPrEx>
          <w:tblLook w:val="0000" w:firstRow="0" w:lastRow="0" w:firstColumn="0" w:lastColumn="0" w:noHBand="0" w:noVBand="0"/>
        </w:tblPrEx>
        <w:trPr>
          <w:trHeight w:val="116"/>
          <w:jc w:val="center"/>
        </w:trPr>
        <w:tc>
          <w:tcPr>
            <w:tcW w:w="9215" w:type="dxa"/>
            <w:gridSpan w:val="6"/>
            <w:shd w:val="clear" w:color="auto" w:fill="D9D9D9"/>
            <w:vAlign w:val="center"/>
          </w:tcPr>
          <w:p w14:paraId="3383F21D" w14:textId="77777777" w:rsidR="00032352" w:rsidRPr="00B52734" w:rsidRDefault="00032352" w:rsidP="00032352">
            <w:pPr>
              <w:spacing w:after="0" w:line="240" w:lineRule="auto"/>
              <w:ind w:left="-76" w:right="-271"/>
              <w:jc w:val="both"/>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Tramo Competitivo</w:t>
            </w:r>
          </w:p>
        </w:tc>
      </w:tr>
      <w:tr w:rsidR="00032352" w:rsidRPr="00B52734" w14:paraId="61D1D883" w14:textId="77777777" w:rsidTr="002E2C97">
        <w:tblPrEx>
          <w:tblLook w:val="0000" w:firstRow="0" w:lastRow="0" w:firstColumn="0" w:lastColumn="0" w:noHBand="0" w:noVBand="0"/>
        </w:tblPrEx>
        <w:trPr>
          <w:trHeight w:val="314"/>
          <w:jc w:val="center"/>
        </w:trPr>
        <w:tc>
          <w:tcPr>
            <w:tcW w:w="1843" w:type="dxa"/>
            <w:vAlign w:val="center"/>
          </w:tcPr>
          <w:p w14:paraId="67236AE4"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Valor Nominal solicitado (1)</w:t>
            </w:r>
          </w:p>
        </w:tc>
        <w:tc>
          <w:tcPr>
            <w:tcW w:w="1275" w:type="dxa"/>
            <w:vAlign w:val="center"/>
          </w:tcPr>
          <w:p w14:paraId="54C89CFF" w14:textId="77777777" w:rsidR="00032352" w:rsidRPr="00B52734" w:rsidRDefault="00032352" w:rsidP="00032352">
            <w:pPr>
              <w:spacing w:after="0" w:line="240" w:lineRule="atLeast"/>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Tasa Solicitada (2)</w:t>
            </w:r>
          </w:p>
        </w:tc>
        <w:tc>
          <w:tcPr>
            <w:tcW w:w="1134" w:type="dxa"/>
            <w:vAlign w:val="center"/>
          </w:tcPr>
          <w:p w14:paraId="2F3BB941"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Cuenta</w:t>
            </w:r>
          </w:p>
          <w:p w14:paraId="213ECB8E"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Comitente</w:t>
            </w:r>
          </w:p>
        </w:tc>
        <w:tc>
          <w:tcPr>
            <w:tcW w:w="1418" w:type="dxa"/>
            <w:vAlign w:val="center"/>
          </w:tcPr>
          <w:p w14:paraId="0113D15E" w14:textId="77777777" w:rsidR="00032352" w:rsidRPr="00B52734" w:rsidRDefault="00032352" w:rsidP="00032352">
            <w:pPr>
              <w:spacing w:after="0" w:line="240" w:lineRule="atLeast"/>
              <w:jc w:val="center"/>
              <w:rPr>
                <w:rFonts w:ascii="Times New Roman" w:eastAsia="Arial Unicode MS" w:hAnsi="Times New Roman" w:cs="Times New Roman"/>
                <w:kern w:val="0"/>
                <w:lang w:val="es-AR" w:eastAsia="es-ES"/>
                <w14:ligatures w14:val="none"/>
              </w:rPr>
            </w:pPr>
            <w:proofErr w:type="spellStart"/>
            <w:r w:rsidRPr="00B52734">
              <w:rPr>
                <w:rFonts w:ascii="Times New Roman" w:eastAsia="Arial Unicode MS" w:hAnsi="Times New Roman" w:cs="Times New Roman"/>
                <w:kern w:val="0"/>
                <w:lang w:val="es-AR" w:eastAsia="es-ES"/>
                <w14:ligatures w14:val="none"/>
              </w:rPr>
              <w:t>N°</w:t>
            </w:r>
            <w:proofErr w:type="spellEnd"/>
            <w:r w:rsidRPr="00B52734">
              <w:rPr>
                <w:rFonts w:ascii="Times New Roman" w:eastAsia="Arial Unicode MS" w:hAnsi="Times New Roman" w:cs="Times New Roman"/>
                <w:kern w:val="0"/>
                <w:lang w:val="es-AR" w:eastAsia="es-ES"/>
                <w14:ligatures w14:val="none"/>
              </w:rPr>
              <w:t xml:space="preserve"> Depositante</w:t>
            </w:r>
          </w:p>
        </w:tc>
        <w:tc>
          <w:tcPr>
            <w:tcW w:w="1701" w:type="dxa"/>
            <w:vAlign w:val="center"/>
          </w:tcPr>
          <w:p w14:paraId="7053C143"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Nombre del Depositante</w:t>
            </w:r>
          </w:p>
        </w:tc>
        <w:tc>
          <w:tcPr>
            <w:tcW w:w="1844" w:type="dxa"/>
            <w:vAlign w:val="center"/>
          </w:tcPr>
          <w:p w14:paraId="582A176F" w14:textId="77777777" w:rsidR="00032352" w:rsidRPr="00B52734" w:rsidRDefault="00032352" w:rsidP="00032352">
            <w:pPr>
              <w:spacing w:after="0" w:line="240" w:lineRule="atLeast"/>
              <w:ind w:left="3"/>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Porcentaje Máximo (3)</w:t>
            </w:r>
          </w:p>
        </w:tc>
      </w:tr>
      <w:tr w:rsidR="00032352" w:rsidRPr="00B52734" w14:paraId="37A6F278" w14:textId="77777777" w:rsidTr="002E2C97">
        <w:tblPrEx>
          <w:tblLook w:val="0000" w:firstRow="0" w:lastRow="0" w:firstColumn="0" w:lastColumn="0" w:noHBand="0" w:noVBand="0"/>
        </w:tblPrEx>
        <w:trPr>
          <w:trHeight w:val="336"/>
          <w:jc w:val="center"/>
        </w:trPr>
        <w:tc>
          <w:tcPr>
            <w:tcW w:w="1843" w:type="dxa"/>
            <w:vAlign w:val="center"/>
          </w:tcPr>
          <w:p w14:paraId="4A6BF59A" w14:textId="77777777" w:rsidR="00032352" w:rsidRPr="00B52734" w:rsidRDefault="00032352" w:rsidP="00032352">
            <w:pPr>
              <w:spacing w:after="0" w:line="240" w:lineRule="atLeast"/>
              <w:ind w:left="66"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lastRenderedPageBreak/>
              <w:t>US$ _____________________</w:t>
            </w:r>
          </w:p>
        </w:tc>
        <w:tc>
          <w:tcPr>
            <w:tcW w:w="1275" w:type="dxa"/>
            <w:vAlign w:val="center"/>
          </w:tcPr>
          <w:p w14:paraId="2AB9F0E2" w14:textId="77777777" w:rsidR="00032352" w:rsidRPr="00B52734" w:rsidRDefault="00032352" w:rsidP="00032352">
            <w:pPr>
              <w:spacing w:after="0" w:line="240" w:lineRule="atLeast"/>
              <w:ind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_____%</w:t>
            </w:r>
          </w:p>
        </w:tc>
        <w:tc>
          <w:tcPr>
            <w:tcW w:w="1134" w:type="dxa"/>
            <w:vAlign w:val="center"/>
          </w:tcPr>
          <w:p w14:paraId="3A5AE312"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418" w:type="dxa"/>
            <w:vAlign w:val="center"/>
          </w:tcPr>
          <w:p w14:paraId="4BC602A1"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701" w:type="dxa"/>
            <w:vAlign w:val="center"/>
          </w:tcPr>
          <w:p w14:paraId="065FB335"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844" w:type="dxa"/>
            <w:vAlign w:val="center"/>
          </w:tcPr>
          <w:p w14:paraId="206AAE21"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_____%</w:t>
            </w:r>
          </w:p>
        </w:tc>
      </w:tr>
      <w:tr w:rsidR="00032352" w:rsidRPr="00B52734" w14:paraId="36A9266F" w14:textId="77777777" w:rsidTr="002E2C97">
        <w:tblPrEx>
          <w:tblLook w:val="0000" w:firstRow="0" w:lastRow="0" w:firstColumn="0" w:lastColumn="0" w:noHBand="0" w:noVBand="0"/>
        </w:tblPrEx>
        <w:trPr>
          <w:trHeight w:val="283"/>
          <w:jc w:val="center"/>
        </w:trPr>
        <w:tc>
          <w:tcPr>
            <w:tcW w:w="1843" w:type="dxa"/>
            <w:vAlign w:val="center"/>
          </w:tcPr>
          <w:p w14:paraId="1AB0AE34" w14:textId="77777777" w:rsidR="00032352" w:rsidRPr="00B52734" w:rsidRDefault="00032352" w:rsidP="00032352">
            <w:pPr>
              <w:spacing w:after="0" w:line="240" w:lineRule="atLeast"/>
              <w:ind w:left="66"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US$_____________________</w:t>
            </w:r>
          </w:p>
        </w:tc>
        <w:tc>
          <w:tcPr>
            <w:tcW w:w="1275" w:type="dxa"/>
            <w:vAlign w:val="center"/>
          </w:tcPr>
          <w:p w14:paraId="0717B4BF" w14:textId="77777777" w:rsidR="00032352" w:rsidRPr="00B52734" w:rsidRDefault="00032352" w:rsidP="00032352">
            <w:pPr>
              <w:spacing w:after="0" w:line="240" w:lineRule="atLeast"/>
              <w:ind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_____%</w:t>
            </w:r>
          </w:p>
        </w:tc>
        <w:tc>
          <w:tcPr>
            <w:tcW w:w="1134" w:type="dxa"/>
            <w:vAlign w:val="center"/>
          </w:tcPr>
          <w:p w14:paraId="337DAB2D"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418" w:type="dxa"/>
            <w:vAlign w:val="center"/>
          </w:tcPr>
          <w:p w14:paraId="771CA221"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701" w:type="dxa"/>
            <w:vAlign w:val="center"/>
          </w:tcPr>
          <w:p w14:paraId="2084C274"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844" w:type="dxa"/>
            <w:vAlign w:val="center"/>
          </w:tcPr>
          <w:p w14:paraId="2024965D"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_____%</w:t>
            </w:r>
          </w:p>
        </w:tc>
      </w:tr>
      <w:tr w:rsidR="00032352" w:rsidRPr="00B52734" w14:paraId="7725ABEF" w14:textId="77777777" w:rsidTr="002E2C97">
        <w:tblPrEx>
          <w:tblLook w:val="0000" w:firstRow="0" w:lastRow="0" w:firstColumn="0" w:lastColumn="0" w:noHBand="0" w:noVBand="0"/>
        </w:tblPrEx>
        <w:trPr>
          <w:trHeight w:val="116"/>
          <w:jc w:val="center"/>
        </w:trPr>
        <w:tc>
          <w:tcPr>
            <w:tcW w:w="9215" w:type="dxa"/>
            <w:gridSpan w:val="6"/>
            <w:shd w:val="clear" w:color="auto" w:fill="D9D9D9"/>
            <w:vAlign w:val="center"/>
          </w:tcPr>
          <w:p w14:paraId="12343017" w14:textId="77777777" w:rsidR="00032352" w:rsidRPr="00B52734" w:rsidRDefault="00032352" w:rsidP="00032352">
            <w:pPr>
              <w:spacing w:after="0" w:line="240" w:lineRule="auto"/>
              <w:ind w:left="-76" w:right="-271"/>
              <w:jc w:val="both"/>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Tramo No Competitivo</w:t>
            </w:r>
          </w:p>
        </w:tc>
      </w:tr>
      <w:tr w:rsidR="00032352" w:rsidRPr="00B52734" w14:paraId="4ABB4F2F" w14:textId="77777777" w:rsidTr="002E2C97">
        <w:tblPrEx>
          <w:tblLook w:val="0000" w:firstRow="0" w:lastRow="0" w:firstColumn="0" w:lastColumn="0" w:noHBand="0" w:noVBand="0"/>
        </w:tblPrEx>
        <w:trPr>
          <w:trHeight w:val="314"/>
          <w:jc w:val="center"/>
        </w:trPr>
        <w:tc>
          <w:tcPr>
            <w:tcW w:w="3118" w:type="dxa"/>
            <w:gridSpan w:val="2"/>
            <w:vAlign w:val="center"/>
          </w:tcPr>
          <w:p w14:paraId="7B41D7E5" w14:textId="77777777" w:rsidR="00032352" w:rsidRPr="00B52734" w:rsidRDefault="00032352" w:rsidP="00032352">
            <w:pPr>
              <w:spacing w:after="0" w:line="240" w:lineRule="atLeast"/>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Valor Nominal solicitado (1)</w:t>
            </w:r>
          </w:p>
        </w:tc>
        <w:tc>
          <w:tcPr>
            <w:tcW w:w="1134" w:type="dxa"/>
            <w:vAlign w:val="center"/>
          </w:tcPr>
          <w:p w14:paraId="280477EF"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Cuenta</w:t>
            </w:r>
          </w:p>
          <w:p w14:paraId="4E79DC85" w14:textId="77777777" w:rsidR="00032352" w:rsidRPr="00B52734" w:rsidRDefault="00032352" w:rsidP="00032352">
            <w:pPr>
              <w:spacing w:after="0" w:line="240" w:lineRule="atLeast"/>
              <w:ind w:left="-142"/>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Comitente</w:t>
            </w:r>
          </w:p>
        </w:tc>
        <w:tc>
          <w:tcPr>
            <w:tcW w:w="1418" w:type="dxa"/>
            <w:vAlign w:val="center"/>
          </w:tcPr>
          <w:p w14:paraId="340DCC35" w14:textId="77777777" w:rsidR="00032352" w:rsidRPr="00B52734" w:rsidRDefault="00032352" w:rsidP="00032352">
            <w:pPr>
              <w:spacing w:after="0" w:line="240" w:lineRule="atLeast"/>
              <w:jc w:val="center"/>
              <w:rPr>
                <w:rFonts w:ascii="Times New Roman" w:eastAsia="Arial Unicode MS" w:hAnsi="Times New Roman" w:cs="Times New Roman"/>
                <w:kern w:val="0"/>
                <w:lang w:val="es-AR" w:eastAsia="es-ES"/>
                <w14:ligatures w14:val="none"/>
              </w:rPr>
            </w:pPr>
            <w:proofErr w:type="spellStart"/>
            <w:r w:rsidRPr="00B52734">
              <w:rPr>
                <w:rFonts w:ascii="Times New Roman" w:eastAsia="Arial Unicode MS" w:hAnsi="Times New Roman" w:cs="Times New Roman"/>
                <w:kern w:val="0"/>
                <w:lang w:val="es-AR" w:eastAsia="es-ES"/>
                <w14:ligatures w14:val="none"/>
              </w:rPr>
              <w:t>N°</w:t>
            </w:r>
            <w:proofErr w:type="spellEnd"/>
            <w:r w:rsidRPr="00B52734">
              <w:rPr>
                <w:rFonts w:ascii="Times New Roman" w:eastAsia="Arial Unicode MS" w:hAnsi="Times New Roman" w:cs="Times New Roman"/>
                <w:kern w:val="0"/>
                <w:lang w:val="es-AR" w:eastAsia="es-ES"/>
                <w14:ligatures w14:val="none"/>
              </w:rPr>
              <w:t xml:space="preserve"> Depositante</w:t>
            </w:r>
          </w:p>
        </w:tc>
        <w:tc>
          <w:tcPr>
            <w:tcW w:w="3545" w:type="dxa"/>
            <w:gridSpan w:val="2"/>
            <w:vAlign w:val="center"/>
          </w:tcPr>
          <w:p w14:paraId="105FEAB1" w14:textId="77777777" w:rsidR="00032352" w:rsidRPr="00B52734" w:rsidRDefault="00032352" w:rsidP="00032352">
            <w:pPr>
              <w:spacing w:after="0" w:line="240" w:lineRule="atLeast"/>
              <w:ind w:left="3"/>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Nombre del Depositante</w:t>
            </w:r>
          </w:p>
        </w:tc>
      </w:tr>
      <w:tr w:rsidR="00032352" w:rsidRPr="00B52734" w14:paraId="74502101" w14:textId="77777777" w:rsidTr="002E2C97">
        <w:tblPrEx>
          <w:tblLook w:val="0000" w:firstRow="0" w:lastRow="0" w:firstColumn="0" w:lastColumn="0" w:noHBand="0" w:noVBand="0"/>
        </w:tblPrEx>
        <w:trPr>
          <w:trHeight w:val="336"/>
          <w:jc w:val="center"/>
        </w:trPr>
        <w:tc>
          <w:tcPr>
            <w:tcW w:w="3118" w:type="dxa"/>
            <w:gridSpan w:val="2"/>
            <w:vAlign w:val="center"/>
          </w:tcPr>
          <w:p w14:paraId="0ED99179" w14:textId="77777777" w:rsidR="00032352" w:rsidRPr="00B52734" w:rsidRDefault="00032352" w:rsidP="00032352">
            <w:pPr>
              <w:spacing w:after="0" w:line="240" w:lineRule="atLeast"/>
              <w:ind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US$ _____________________</w:t>
            </w:r>
          </w:p>
        </w:tc>
        <w:tc>
          <w:tcPr>
            <w:tcW w:w="1134" w:type="dxa"/>
            <w:vAlign w:val="center"/>
          </w:tcPr>
          <w:p w14:paraId="4BAE88CD"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418" w:type="dxa"/>
            <w:vAlign w:val="center"/>
          </w:tcPr>
          <w:p w14:paraId="01C30302"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3545" w:type="dxa"/>
            <w:gridSpan w:val="2"/>
            <w:vAlign w:val="center"/>
          </w:tcPr>
          <w:p w14:paraId="315711BC"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r>
      <w:tr w:rsidR="00032352" w:rsidRPr="00B52734" w14:paraId="1B7C1747" w14:textId="77777777" w:rsidTr="002E2C97">
        <w:tblPrEx>
          <w:tblLook w:val="0000" w:firstRow="0" w:lastRow="0" w:firstColumn="0" w:lastColumn="0" w:noHBand="0" w:noVBand="0"/>
        </w:tblPrEx>
        <w:trPr>
          <w:trHeight w:val="283"/>
          <w:jc w:val="center"/>
        </w:trPr>
        <w:tc>
          <w:tcPr>
            <w:tcW w:w="3118" w:type="dxa"/>
            <w:gridSpan w:val="2"/>
            <w:vAlign w:val="center"/>
          </w:tcPr>
          <w:p w14:paraId="410F0DB0" w14:textId="77777777" w:rsidR="00032352" w:rsidRPr="00B52734" w:rsidRDefault="00032352" w:rsidP="00032352">
            <w:pPr>
              <w:spacing w:after="0" w:line="240" w:lineRule="atLeast"/>
              <w:ind w:right="-17"/>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US$____________________</w:t>
            </w:r>
          </w:p>
        </w:tc>
        <w:tc>
          <w:tcPr>
            <w:tcW w:w="1134" w:type="dxa"/>
            <w:vAlign w:val="center"/>
          </w:tcPr>
          <w:p w14:paraId="798CE92F"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1418" w:type="dxa"/>
            <w:vAlign w:val="center"/>
          </w:tcPr>
          <w:p w14:paraId="2DDA9E85"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c>
          <w:tcPr>
            <w:tcW w:w="3545" w:type="dxa"/>
            <w:gridSpan w:val="2"/>
            <w:vAlign w:val="center"/>
          </w:tcPr>
          <w:p w14:paraId="37002444" w14:textId="77777777" w:rsidR="00032352" w:rsidRPr="00B52734" w:rsidRDefault="00032352" w:rsidP="00032352">
            <w:pPr>
              <w:spacing w:after="0" w:line="240" w:lineRule="atLeast"/>
              <w:ind w:left="-142" w:right="-17"/>
              <w:jc w:val="center"/>
              <w:rPr>
                <w:rFonts w:ascii="Times New Roman" w:eastAsia="Arial Unicode MS" w:hAnsi="Times New Roman" w:cs="Times New Roman"/>
                <w:kern w:val="0"/>
                <w:lang w:val="es-AR" w:eastAsia="es-ES"/>
                <w14:ligatures w14:val="none"/>
              </w:rPr>
            </w:pPr>
          </w:p>
        </w:tc>
      </w:tr>
    </w:tbl>
    <w:p w14:paraId="0295B8B7" w14:textId="77777777" w:rsidR="00032352" w:rsidRPr="00B52734" w:rsidRDefault="00032352" w:rsidP="00032352">
      <w:pPr>
        <w:widowControl w:val="0"/>
        <w:spacing w:after="0" w:line="240" w:lineRule="atLeast"/>
        <w:ind w:left="1080" w:right="-17"/>
        <w:contextualSpacing/>
        <w:jc w:val="both"/>
        <w:rPr>
          <w:rFonts w:ascii="Aptos" w:eastAsia="Times New Roman" w:hAnsi="Aptos" w:cs="Calibri"/>
          <w:b/>
          <w:bCs/>
          <w:kern w:val="0"/>
          <w:sz w:val="22"/>
          <w:szCs w:val="22"/>
          <w:lang w:val="es-AR" w:eastAsia="es-ES"/>
          <w14:ligatures w14:val="none"/>
        </w:rPr>
      </w:pPr>
    </w:p>
    <w:p w14:paraId="44DC079E" w14:textId="77777777" w:rsidR="00032352" w:rsidRPr="00B52734" w:rsidRDefault="00032352" w:rsidP="00032352">
      <w:pPr>
        <w:widowControl w:val="0"/>
        <w:numPr>
          <w:ilvl w:val="0"/>
          <w:numId w:val="5"/>
        </w:numPr>
        <w:spacing w:after="0" w:line="240" w:lineRule="atLeast"/>
        <w:ind w:right="-17"/>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lang w:val="es-AR" w:eastAsia="es-ES"/>
          <w14:ligatures w14:val="none"/>
        </w:rPr>
        <w:t xml:space="preserve">Expresado en </w:t>
      </w:r>
      <w:proofErr w:type="gramStart"/>
      <w:r w:rsidRPr="00B52734">
        <w:rPr>
          <w:rFonts w:ascii="Aptos" w:eastAsia="Times New Roman" w:hAnsi="Aptos" w:cs="Calibri"/>
          <w:kern w:val="0"/>
          <w:sz w:val="22"/>
          <w:szCs w:val="22"/>
          <w:lang w:val="es-AR" w:eastAsia="es-ES"/>
          <w14:ligatures w14:val="none"/>
        </w:rPr>
        <w:t>Dólares Estadounidenses</w:t>
      </w:r>
      <w:proofErr w:type="gramEnd"/>
      <w:r w:rsidRPr="00B52734">
        <w:rPr>
          <w:rFonts w:ascii="Aptos" w:eastAsia="Times New Roman" w:hAnsi="Aptos" w:cs="Calibri"/>
          <w:kern w:val="0"/>
          <w:sz w:val="22"/>
          <w:szCs w:val="22"/>
          <w:lang w:val="es-AR" w:eastAsia="es-ES"/>
          <w14:ligatures w14:val="none"/>
        </w:rPr>
        <w:t>. Monto Mínimo de Suscripción de las Obligaciones Negociables Clase XXIII será por importes equivalentes a V/N US$850 (</w:t>
      </w:r>
      <w:proofErr w:type="gramStart"/>
      <w:r w:rsidRPr="00B52734">
        <w:rPr>
          <w:rFonts w:ascii="Aptos" w:eastAsia="Times New Roman" w:hAnsi="Aptos" w:cs="Calibri"/>
          <w:kern w:val="0"/>
          <w:sz w:val="22"/>
          <w:szCs w:val="22"/>
          <w:lang w:val="es-AR" w:eastAsia="es-ES"/>
          <w14:ligatures w14:val="none"/>
        </w:rPr>
        <w:t>Dólares Estadounidenses</w:t>
      </w:r>
      <w:proofErr w:type="gramEnd"/>
      <w:r w:rsidRPr="00B52734">
        <w:rPr>
          <w:rFonts w:ascii="Aptos" w:eastAsia="Times New Roman" w:hAnsi="Aptos" w:cs="Calibri"/>
          <w:kern w:val="0"/>
          <w:sz w:val="22"/>
          <w:szCs w:val="22"/>
          <w:lang w:val="es-AR" w:eastAsia="es-ES"/>
          <w14:ligatures w14:val="none"/>
        </w:rPr>
        <w:t xml:space="preserve"> ochocientos cincuenta) y múltiplos de V/N US$850 (</w:t>
      </w:r>
      <w:proofErr w:type="gramStart"/>
      <w:r w:rsidRPr="00B52734">
        <w:rPr>
          <w:rFonts w:ascii="Aptos" w:eastAsia="Times New Roman" w:hAnsi="Aptos" w:cs="Calibri"/>
          <w:kern w:val="0"/>
          <w:sz w:val="22"/>
          <w:szCs w:val="22"/>
          <w:lang w:val="es-AR" w:eastAsia="es-ES"/>
          <w14:ligatures w14:val="none"/>
        </w:rPr>
        <w:t>Dólares Estadounidenses</w:t>
      </w:r>
      <w:proofErr w:type="gramEnd"/>
      <w:r w:rsidRPr="00B52734">
        <w:rPr>
          <w:rFonts w:ascii="Aptos" w:eastAsia="Times New Roman" w:hAnsi="Aptos" w:cs="Calibri"/>
          <w:kern w:val="0"/>
          <w:sz w:val="22"/>
          <w:szCs w:val="22"/>
          <w:lang w:val="es-AR" w:eastAsia="es-ES"/>
          <w14:ligatures w14:val="none"/>
        </w:rPr>
        <w:t xml:space="preserve"> ochocientos cincuenta) por encima de dicho monto.</w:t>
      </w:r>
    </w:p>
    <w:p w14:paraId="481D08A6" w14:textId="77777777" w:rsidR="00032352" w:rsidRPr="00B52734" w:rsidRDefault="00032352" w:rsidP="00032352">
      <w:pPr>
        <w:widowControl w:val="0"/>
        <w:numPr>
          <w:ilvl w:val="0"/>
          <w:numId w:val="5"/>
        </w:numPr>
        <w:spacing w:after="0" w:line="240" w:lineRule="atLeast"/>
        <w:ind w:right="-17"/>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lang w:val="es-AR" w:eastAsia="es-ES"/>
          <w14:ligatures w14:val="none"/>
        </w:rPr>
        <w:t>Expresada como porcentaje anual truncado a dos decimales.</w:t>
      </w:r>
    </w:p>
    <w:p w14:paraId="1CE1A764" w14:textId="77777777" w:rsidR="00032352" w:rsidRPr="00B52734" w:rsidRDefault="00032352" w:rsidP="00032352">
      <w:pPr>
        <w:widowControl w:val="0"/>
        <w:spacing w:after="0" w:line="240" w:lineRule="atLeast"/>
        <w:ind w:left="1080" w:right="-17"/>
        <w:contextualSpacing/>
        <w:jc w:val="both"/>
        <w:rPr>
          <w:rFonts w:ascii="Aptos" w:eastAsia="Times New Roman" w:hAnsi="Aptos" w:cs="Calibri"/>
          <w:b/>
          <w:bCs/>
          <w:kern w:val="0"/>
          <w:sz w:val="22"/>
          <w:szCs w:val="22"/>
          <w:lang w:val="es-AR" w:eastAsia="es-ES"/>
          <w14:ligatures w14:val="none"/>
        </w:rPr>
      </w:pPr>
    </w:p>
    <w:p w14:paraId="17DF6E10" w14:textId="77777777" w:rsidR="00032352" w:rsidRPr="00B52734" w:rsidRDefault="00032352" w:rsidP="00032352">
      <w:pPr>
        <w:widowControl w:val="0"/>
        <w:numPr>
          <w:ilvl w:val="0"/>
          <w:numId w:val="4"/>
        </w:numPr>
        <w:spacing w:after="0" w:line="240" w:lineRule="atLeast"/>
        <w:ind w:right="-17"/>
        <w:contextualSpacing/>
        <w:jc w:val="both"/>
        <w:rPr>
          <w:rFonts w:ascii="Aptos" w:eastAsia="Times New Roman" w:hAnsi="Aptos" w:cs="Calibri"/>
          <w:b/>
          <w:bCs/>
          <w:kern w:val="0"/>
          <w:sz w:val="22"/>
          <w:szCs w:val="22"/>
          <w:lang w:val="es-AR" w:eastAsia="es-ES"/>
          <w14:ligatures w14:val="none"/>
        </w:rPr>
      </w:pPr>
      <w:r w:rsidRPr="00B52734">
        <w:rPr>
          <w:rFonts w:ascii="Aptos" w:eastAsia="Times New Roman" w:hAnsi="Aptos" w:cs="Calibri"/>
          <w:b/>
          <w:bCs/>
          <w:kern w:val="0"/>
          <w:sz w:val="22"/>
          <w:szCs w:val="22"/>
          <w:lang w:val="es-AR" w:eastAsia="es-ES"/>
          <w14:ligatures w14:val="none"/>
        </w:rPr>
        <w:t>Integración en especie:</w:t>
      </w:r>
    </w:p>
    <w:p w14:paraId="718E2145" w14:textId="77777777" w:rsidR="00032352" w:rsidRPr="00B52734" w:rsidRDefault="00032352" w:rsidP="00032352">
      <w:pPr>
        <w:autoSpaceDE w:val="0"/>
        <w:autoSpaceDN w:val="0"/>
        <w:adjustRightInd w:val="0"/>
        <w:spacing w:after="0" w:line="240" w:lineRule="auto"/>
        <w:jc w:val="both"/>
        <w:rPr>
          <w:rFonts w:ascii="Garamond" w:eastAsia="Times New Roman" w:hAnsi="Garamond" w:cs="Times New Roman"/>
          <w:kern w:val="0"/>
          <w:szCs w:val="20"/>
          <w:lang w:val="es-AR" w:eastAsia="es-ES"/>
          <w14:ligatures w14:val="none"/>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032352" w:rsidRPr="00B52734" w14:paraId="1BE175E3" w14:textId="77777777" w:rsidTr="00032352">
        <w:trPr>
          <w:trHeight w:val="273"/>
        </w:trPr>
        <w:tc>
          <w:tcPr>
            <w:tcW w:w="9067" w:type="dxa"/>
            <w:tcBorders>
              <w:top w:val="single" w:sz="4" w:space="0" w:color="auto"/>
              <w:left w:val="single" w:sz="4" w:space="0" w:color="auto"/>
              <w:bottom w:val="single" w:sz="4" w:space="0" w:color="auto"/>
              <w:right w:val="single" w:sz="4" w:space="0" w:color="auto"/>
            </w:tcBorders>
            <w:shd w:val="clear" w:color="auto" w:fill="AEAAAA"/>
          </w:tcPr>
          <w:p w14:paraId="749F3C83" w14:textId="77777777" w:rsidR="00032352" w:rsidRPr="00B52734" w:rsidRDefault="00032352" w:rsidP="00032352">
            <w:pPr>
              <w:spacing w:after="0" w:line="240" w:lineRule="auto"/>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OBLIGACIONES NEGOCIABLES CLASE XXIII</w:t>
            </w:r>
          </w:p>
        </w:tc>
      </w:tr>
      <w:tr w:rsidR="00032352" w:rsidRPr="00B52734" w14:paraId="0F0F2C53" w14:textId="77777777" w:rsidTr="00032352">
        <w:trPr>
          <w:trHeight w:val="192"/>
        </w:trPr>
        <w:tc>
          <w:tcPr>
            <w:tcW w:w="9067" w:type="dxa"/>
            <w:tcBorders>
              <w:top w:val="single" w:sz="4" w:space="0" w:color="auto"/>
              <w:left w:val="single" w:sz="4" w:space="0" w:color="auto"/>
              <w:bottom w:val="single" w:sz="4" w:space="0" w:color="auto"/>
              <w:right w:val="single" w:sz="4" w:space="0" w:color="auto"/>
            </w:tcBorders>
            <w:shd w:val="clear" w:color="auto" w:fill="E7E6E6"/>
          </w:tcPr>
          <w:p w14:paraId="33744887" w14:textId="77777777" w:rsidR="00032352" w:rsidRPr="00B52734" w:rsidRDefault="00032352" w:rsidP="00032352">
            <w:pPr>
              <w:spacing w:after="0" w:line="240" w:lineRule="auto"/>
              <w:jc w:val="center"/>
              <w:rPr>
                <w:rFonts w:ascii="Times New Roman" w:eastAsia="Arial Unicode MS" w:hAnsi="Times New Roman" w:cs="Times New Roman"/>
                <w:kern w:val="0"/>
                <w:lang w:val="es-AR" w:eastAsia="es-ES"/>
                <w14:ligatures w14:val="none"/>
              </w:rPr>
            </w:pPr>
            <w:r w:rsidRPr="00B52734">
              <w:rPr>
                <w:rFonts w:ascii="Times New Roman" w:eastAsia="Arial Unicode MS" w:hAnsi="Times New Roman" w:cs="Times New Roman"/>
                <w:kern w:val="0"/>
                <w:lang w:val="es-AR" w:eastAsia="es-ES"/>
                <w14:ligatures w14:val="none"/>
              </w:rPr>
              <w:t>Tramo Competitivo</w:t>
            </w:r>
          </w:p>
        </w:tc>
      </w:tr>
    </w:tbl>
    <w:tbl>
      <w:tblPr>
        <w:tblStyle w:val="TableGrid1"/>
        <w:tblW w:w="9072" w:type="dxa"/>
        <w:tblInd w:w="-5" w:type="dxa"/>
        <w:tblLook w:val="04A0" w:firstRow="1" w:lastRow="0" w:firstColumn="1" w:lastColumn="0" w:noHBand="0" w:noVBand="1"/>
      </w:tblPr>
      <w:tblGrid>
        <w:gridCol w:w="1701"/>
        <w:gridCol w:w="1470"/>
        <w:gridCol w:w="1268"/>
        <w:gridCol w:w="1455"/>
        <w:gridCol w:w="1364"/>
        <w:gridCol w:w="1814"/>
      </w:tblGrid>
      <w:tr w:rsidR="00032352" w:rsidRPr="00B52734" w14:paraId="7CFE75B8" w14:textId="77777777" w:rsidTr="002E2C97">
        <w:tc>
          <w:tcPr>
            <w:tcW w:w="1701" w:type="dxa"/>
          </w:tcPr>
          <w:p w14:paraId="5424385A"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Monto Ofrecido (1)</w:t>
            </w:r>
          </w:p>
        </w:tc>
        <w:tc>
          <w:tcPr>
            <w:tcW w:w="1470" w:type="dxa"/>
          </w:tcPr>
          <w:p w14:paraId="0C92CA7C"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Tasa Solicitada (2)</w:t>
            </w:r>
          </w:p>
        </w:tc>
        <w:tc>
          <w:tcPr>
            <w:tcW w:w="1268" w:type="dxa"/>
          </w:tcPr>
          <w:p w14:paraId="766EBF33"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Cuenta Comitente</w:t>
            </w:r>
          </w:p>
        </w:tc>
        <w:tc>
          <w:tcPr>
            <w:tcW w:w="1455" w:type="dxa"/>
          </w:tcPr>
          <w:p w14:paraId="11AA04A9" w14:textId="77777777" w:rsidR="00032352" w:rsidRPr="00B52734" w:rsidRDefault="00032352" w:rsidP="00032352">
            <w:pPr>
              <w:jc w:val="center"/>
              <w:rPr>
                <w:rFonts w:ascii="Times New Roman" w:eastAsia="Arial Unicode MS" w:hAnsi="Times New Roman" w:cs="Times New Roman"/>
                <w:lang w:eastAsia="es-ES"/>
              </w:rPr>
            </w:pPr>
            <w:proofErr w:type="spellStart"/>
            <w:r w:rsidRPr="00B52734">
              <w:rPr>
                <w:rFonts w:ascii="Times New Roman" w:eastAsia="Arial Unicode MS" w:hAnsi="Times New Roman" w:cs="Times New Roman"/>
                <w:lang w:eastAsia="es-ES"/>
              </w:rPr>
              <w:t>N°</w:t>
            </w:r>
            <w:proofErr w:type="spellEnd"/>
            <w:r w:rsidRPr="00B52734">
              <w:rPr>
                <w:rFonts w:ascii="Times New Roman" w:eastAsia="Arial Unicode MS" w:hAnsi="Times New Roman" w:cs="Times New Roman"/>
                <w:lang w:eastAsia="es-ES"/>
              </w:rPr>
              <w:t xml:space="preserve"> Depositante</w:t>
            </w:r>
          </w:p>
        </w:tc>
        <w:tc>
          <w:tcPr>
            <w:tcW w:w="1364" w:type="dxa"/>
          </w:tcPr>
          <w:p w14:paraId="4281880F"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Nombre del Depositante</w:t>
            </w:r>
          </w:p>
        </w:tc>
        <w:tc>
          <w:tcPr>
            <w:tcW w:w="1814" w:type="dxa"/>
          </w:tcPr>
          <w:p w14:paraId="7E4D77EB"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Porcentaje Máximo (3)</w:t>
            </w:r>
          </w:p>
        </w:tc>
      </w:tr>
      <w:tr w:rsidR="00032352" w:rsidRPr="00B52734" w14:paraId="08BE120A" w14:textId="77777777" w:rsidTr="002E2C97">
        <w:tc>
          <w:tcPr>
            <w:tcW w:w="1701" w:type="dxa"/>
          </w:tcPr>
          <w:p w14:paraId="48F6FDB8"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V/N Obligaciones Negociables Clase XXI (4): US$[•]</w:t>
            </w:r>
          </w:p>
        </w:tc>
        <w:tc>
          <w:tcPr>
            <w:tcW w:w="1470" w:type="dxa"/>
          </w:tcPr>
          <w:p w14:paraId="467048A5"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w:t>
            </w:r>
          </w:p>
        </w:tc>
        <w:tc>
          <w:tcPr>
            <w:tcW w:w="1268" w:type="dxa"/>
          </w:tcPr>
          <w:p w14:paraId="5C9FC2BF"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w:t>
            </w:r>
          </w:p>
        </w:tc>
        <w:tc>
          <w:tcPr>
            <w:tcW w:w="1455" w:type="dxa"/>
          </w:tcPr>
          <w:p w14:paraId="77FF0D4C"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w:t>
            </w:r>
          </w:p>
        </w:tc>
        <w:tc>
          <w:tcPr>
            <w:tcW w:w="1364" w:type="dxa"/>
          </w:tcPr>
          <w:p w14:paraId="0EAE1CBD"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w:t>
            </w:r>
          </w:p>
        </w:tc>
        <w:tc>
          <w:tcPr>
            <w:tcW w:w="1814" w:type="dxa"/>
          </w:tcPr>
          <w:p w14:paraId="48914983"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w:t>
            </w:r>
          </w:p>
        </w:tc>
      </w:tr>
      <w:tr w:rsidR="00032352" w:rsidRPr="00B52734" w14:paraId="2C094D8C" w14:textId="77777777" w:rsidTr="00032352">
        <w:tc>
          <w:tcPr>
            <w:tcW w:w="9072" w:type="dxa"/>
            <w:gridSpan w:val="6"/>
            <w:shd w:val="clear" w:color="auto" w:fill="E7E6E6"/>
          </w:tcPr>
          <w:p w14:paraId="7EC6CF3D"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Tramo No Competitivo</w:t>
            </w:r>
          </w:p>
        </w:tc>
      </w:tr>
      <w:tr w:rsidR="00032352" w:rsidRPr="00B52734" w14:paraId="1A036C80" w14:textId="77777777" w:rsidTr="002E2C97">
        <w:tc>
          <w:tcPr>
            <w:tcW w:w="3171" w:type="dxa"/>
            <w:gridSpan w:val="2"/>
            <w:shd w:val="clear" w:color="auto" w:fill="FFFFFF"/>
          </w:tcPr>
          <w:p w14:paraId="7BF0CD65"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Monto Ofrecido (1)</w:t>
            </w:r>
          </w:p>
        </w:tc>
        <w:tc>
          <w:tcPr>
            <w:tcW w:w="1268" w:type="dxa"/>
            <w:shd w:val="clear" w:color="auto" w:fill="FFFFFF"/>
          </w:tcPr>
          <w:p w14:paraId="60049E37"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Cuenta Comitente</w:t>
            </w:r>
          </w:p>
        </w:tc>
        <w:tc>
          <w:tcPr>
            <w:tcW w:w="1455" w:type="dxa"/>
            <w:shd w:val="clear" w:color="auto" w:fill="FFFFFF"/>
          </w:tcPr>
          <w:p w14:paraId="2C368E01" w14:textId="77777777" w:rsidR="00032352" w:rsidRPr="00B52734" w:rsidRDefault="00032352" w:rsidP="00032352">
            <w:pPr>
              <w:jc w:val="center"/>
              <w:rPr>
                <w:rFonts w:ascii="Times New Roman" w:eastAsia="Arial Unicode MS" w:hAnsi="Times New Roman" w:cs="Times New Roman"/>
                <w:lang w:eastAsia="es-ES"/>
              </w:rPr>
            </w:pPr>
            <w:proofErr w:type="spellStart"/>
            <w:r w:rsidRPr="00B52734">
              <w:rPr>
                <w:rFonts w:ascii="Times New Roman" w:eastAsia="Arial Unicode MS" w:hAnsi="Times New Roman" w:cs="Times New Roman"/>
                <w:lang w:eastAsia="es-ES"/>
              </w:rPr>
              <w:t>N°</w:t>
            </w:r>
            <w:proofErr w:type="spellEnd"/>
            <w:r w:rsidRPr="00B52734">
              <w:rPr>
                <w:rFonts w:ascii="Times New Roman" w:eastAsia="Arial Unicode MS" w:hAnsi="Times New Roman" w:cs="Times New Roman"/>
                <w:lang w:eastAsia="es-ES"/>
              </w:rPr>
              <w:t xml:space="preserve"> Depositante</w:t>
            </w:r>
          </w:p>
        </w:tc>
        <w:tc>
          <w:tcPr>
            <w:tcW w:w="1364" w:type="dxa"/>
            <w:shd w:val="clear" w:color="auto" w:fill="FFFFFF"/>
          </w:tcPr>
          <w:p w14:paraId="43F29707"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Nombre del Depositante</w:t>
            </w:r>
          </w:p>
        </w:tc>
        <w:tc>
          <w:tcPr>
            <w:tcW w:w="1814" w:type="dxa"/>
            <w:shd w:val="clear" w:color="auto" w:fill="FFFFFF"/>
          </w:tcPr>
          <w:p w14:paraId="4C98B924"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Porcentaje Máximo (3)</w:t>
            </w:r>
          </w:p>
        </w:tc>
      </w:tr>
      <w:tr w:rsidR="00032352" w:rsidRPr="00B52734" w14:paraId="6868FAE7" w14:textId="77777777" w:rsidTr="002E2C97">
        <w:tc>
          <w:tcPr>
            <w:tcW w:w="3171" w:type="dxa"/>
            <w:gridSpan w:val="2"/>
            <w:shd w:val="clear" w:color="auto" w:fill="FFFFFF"/>
          </w:tcPr>
          <w:p w14:paraId="10663CD9"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V/N Obligaciones Negociables Clase XXI (4): US$[•]</w:t>
            </w:r>
          </w:p>
        </w:tc>
        <w:tc>
          <w:tcPr>
            <w:tcW w:w="1268" w:type="dxa"/>
            <w:shd w:val="clear" w:color="auto" w:fill="FFFFFF"/>
          </w:tcPr>
          <w:p w14:paraId="3D391C36"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w:t>
            </w:r>
          </w:p>
        </w:tc>
        <w:tc>
          <w:tcPr>
            <w:tcW w:w="1455" w:type="dxa"/>
            <w:shd w:val="clear" w:color="auto" w:fill="FFFFFF"/>
          </w:tcPr>
          <w:p w14:paraId="52FC131E"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w:t>
            </w:r>
          </w:p>
        </w:tc>
        <w:tc>
          <w:tcPr>
            <w:tcW w:w="1364" w:type="dxa"/>
            <w:shd w:val="clear" w:color="auto" w:fill="FFFFFF"/>
          </w:tcPr>
          <w:p w14:paraId="2B763506"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w:t>
            </w:r>
          </w:p>
        </w:tc>
        <w:tc>
          <w:tcPr>
            <w:tcW w:w="1814" w:type="dxa"/>
            <w:shd w:val="clear" w:color="auto" w:fill="FFFFFF"/>
          </w:tcPr>
          <w:p w14:paraId="70DCF9D3" w14:textId="77777777" w:rsidR="00032352" w:rsidRPr="00B52734" w:rsidRDefault="00032352" w:rsidP="00032352">
            <w:pPr>
              <w:jc w:val="center"/>
              <w:rPr>
                <w:rFonts w:ascii="Times New Roman" w:eastAsia="Arial Unicode MS" w:hAnsi="Times New Roman" w:cs="Times New Roman"/>
                <w:lang w:eastAsia="es-ES"/>
              </w:rPr>
            </w:pPr>
            <w:r w:rsidRPr="00B52734">
              <w:rPr>
                <w:rFonts w:ascii="Times New Roman" w:eastAsia="Arial Unicode MS" w:hAnsi="Times New Roman" w:cs="Times New Roman"/>
                <w:lang w:eastAsia="es-ES"/>
              </w:rPr>
              <w:t>[•]%</w:t>
            </w:r>
          </w:p>
        </w:tc>
      </w:tr>
    </w:tbl>
    <w:p w14:paraId="1E6E5573" w14:textId="77777777" w:rsidR="00032352" w:rsidRPr="00B52734" w:rsidRDefault="00032352" w:rsidP="00032352">
      <w:pPr>
        <w:widowControl w:val="0"/>
        <w:spacing w:after="0" w:line="240" w:lineRule="atLeast"/>
        <w:ind w:right="-17"/>
        <w:contextualSpacing/>
        <w:jc w:val="both"/>
        <w:rPr>
          <w:rFonts w:ascii="Aptos" w:eastAsia="Times New Roman" w:hAnsi="Aptos" w:cs="Calibri"/>
          <w:b/>
          <w:bCs/>
          <w:kern w:val="0"/>
          <w:sz w:val="22"/>
          <w:szCs w:val="22"/>
          <w:lang w:val="es-AR" w:eastAsia="es-ES"/>
          <w14:ligatures w14:val="none"/>
        </w:rPr>
      </w:pPr>
    </w:p>
    <w:p w14:paraId="09D0D4FA" w14:textId="77777777" w:rsidR="00032352" w:rsidRPr="00B52734" w:rsidRDefault="00032352" w:rsidP="00032352">
      <w:pPr>
        <w:widowControl w:val="0"/>
        <w:numPr>
          <w:ilvl w:val="0"/>
          <w:numId w:val="6"/>
        </w:numPr>
        <w:spacing w:after="0" w:line="240" w:lineRule="atLeast"/>
        <w:ind w:right="-17"/>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lang w:val="es-AR" w:eastAsia="es-ES"/>
          <w14:ligatures w14:val="none"/>
        </w:rPr>
        <w:t>El monto mínimo de suscripción de las Obligaciones Negociables Clase XXIII será por importes equivalentes a V/N US$850 (</w:t>
      </w:r>
      <w:proofErr w:type="gramStart"/>
      <w:r w:rsidRPr="00B52734">
        <w:rPr>
          <w:rFonts w:ascii="Aptos" w:eastAsia="Times New Roman" w:hAnsi="Aptos" w:cs="Calibri"/>
          <w:kern w:val="0"/>
          <w:sz w:val="22"/>
          <w:szCs w:val="22"/>
          <w:lang w:val="es-AR" w:eastAsia="es-ES"/>
          <w14:ligatures w14:val="none"/>
        </w:rPr>
        <w:t>Dólares Estadounidenses</w:t>
      </w:r>
      <w:proofErr w:type="gramEnd"/>
      <w:r w:rsidRPr="00B52734">
        <w:rPr>
          <w:rFonts w:ascii="Aptos" w:eastAsia="Times New Roman" w:hAnsi="Aptos" w:cs="Calibri"/>
          <w:kern w:val="0"/>
          <w:sz w:val="22"/>
          <w:szCs w:val="22"/>
          <w:lang w:val="es-AR" w:eastAsia="es-ES"/>
          <w14:ligatures w14:val="none"/>
        </w:rPr>
        <w:t xml:space="preserve"> ochocientos cincuenta) y múltiplos de V/N US$850 (</w:t>
      </w:r>
      <w:proofErr w:type="gramStart"/>
      <w:r w:rsidRPr="00B52734">
        <w:rPr>
          <w:rFonts w:ascii="Aptos" w:eastAsia="Times New Roman" w:hAnsi="Aptos" w:cs="Calibri"/>
          <w:kern w:val="0"/>
          <w:sz w:val="22"/>
          <w:szCs w:val="22"/>
          <w:lang w:val="es-AR" w:eastAsia="es-ES"/>
          <w14:ligatures w14:val="none"/>
        </w:rPr>
        <w:t>Dólares Estadounidenses</w:t>
      </w:r>
      <w:proofErr w:type="gramEnd"/>
      <w:r w:rsidRPr="00B52734">
        <w:rPr>
          <w:rFonts w:ascii="Aptos" w:eastAsia="Times New Roman" w:hAnsi="Aptos" w:cs="Calibri"/>
          <w:kern w:val="0"/>
          <w:sz w:val="22"/>
          <w:szCs w:val="22"/>
          <w:lang w:val="es-AR" w:eastAsia="es-ES"/>
          <w14:ligatures w14:val="none"/>
        </w:rPr>
        <w:t xml:space="preserve"> ochocientos cincuenta) por encima de dicho monto.</w:t>
      </w:r>
    </w:p>
    <w:p w14:paraId="2B873724" w14:textId="77777777" w:rsidR="00032352" w:rsidRPr="00B52734" w:rsidRDefault="00032352" w:rsidP="00032352">
      <w:pPr>
        <w:widowControl w:val="0"/>
        <w:numPr>
          <w:ilvl w:val="0"/>
          <w:numId w:val="6"/>
        </w:numPr>
        <w:spacing w:after="0" w:line="240" w:lineRule="atLeast"/>
        <w:ind w:right="-17"/>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lang w:val="es-AR" w:eastAsia="es-ES"/>
          <w14:ligatures w14:val="none"/>
        </w:rPr>
        <w:t xml:space="preserve">Sólo las Órdenes de Compra para el Tramo Competitivo deberán indicar el Margen Solicitado en relación con las Obligaciones Negociables. El Margen Solicitado deberá expresarse como un número truncado a dos decimales. </w:t>
      </w:r>
    </w:p>
    <w:p w14:paraId="7D5B1C04" w14:textId="77777777" w:rsidR="00032352" w:rsidRPr="00B52734" w:rsidRDefault="00032352" w:rsidP="00032352">
      <w:pPr>
        <w:widowControl w:val="0"/>
        <w:numPr>
          <w:ilvl w:val="0"/>
          <w:numId w:val="6"/>
        </w:numPr>
        <w:spacing w:after="0" w:line="240" w:lineRule="atLeast"/>
        <w:ind w:right="-17"/>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lang w:val="es-AR" w:eastAsia="es-ES"/>
          <w14:ligatures w14:val="none"/>
        </w:rPr>
        <w:t xml:space="preserve">En caso de que así lo desee, los Oferentes podrán limitar su adjudicación final en un porcentaje máximo del valor nominal total a emitir de las Obligaciones Negociables. </w:t>
      </w:r>
    </w:p>
    <w:p w14:paraId="2B4ED1A5" w14:textId="77777777" w:rsidR="00032352" w:rsidRPr="00B52734" w:rsidRDefault="00032352" w:rsidP="00032352">
      <w:pPr>
        <w:widowControl w:val="0"/>
        <w:numPr>
          <w:ilvl w:val="0"/>
          <w:numId w:val="6"/>
        </w:numPr>
        <w:spacing w:after="0" w:line="240" w:lineRule="atLeast"/>
        <w:ind w:right="-17"/>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lang w:val="es-AR" w:eastAsia="es-ES"/>
          <w14:ligatures w14:val="none"/>
        </w:rPr>
        <w:t xml:space="preserve">Las relaciones de canje a efectos a la integración en especie de las Obligaciones Negociables Clase XXIII serán de: (i) US$1 de valor nominal de Obligaciones Negociables Clase XXIII por cada US$1 de valor nominal de las Obligaciones Negociables Clase XXI </w:t>
      </w:r>
      <w:r w:rsidRPr="00B52734">
        <w:rPr>
          <w:rFonts w:ascii="Aptos" w:eastAsia="Times New Roman" w:hAnsi="Aptos" w:cs="Calibri"/>
          <w:kern w:val="0"/>
          <w:sz w:val="22"/>
          <w:szCs w:val="22"/>
          <w:lang w:val="es-AR" w:eastAsia="es-ES"/>
          <w14:ligatures w14:val="none"/>
        </w:rPr>
        <w:lastRenderedPageBreak/>
        <w:t>entregadas para la integración en especie de las Obligaciones Negociables Clase XXIII (la “</w:t>
      </w:r>
      <w:r w:rsidRPr="00B52734">
        <w:rPr>
          <w:rFonts w:ascii="Aptos" w:eastAsia="Times New Roman" w:hAnsi="Aptos" w:cs="Calibri"/>
          <w:i/>
          <w:iCs/>
          <w:kern w:val="0"/>
          <w:sz w:val="22"/>
          <w:szCs w:val="22"/>
          <w:lang w:val="es-AR" w:eastAsia="es-ES"/>
          <w14:ligatures w14:val="none"/>
        </w:rPr>
        <w:t>Relación de Canje</w:t>
      </w:r>
      <w:r w:rsidRPr="00B52734">
        <w:rPr>
          <w:rFonts w:ascii="Aptos" w:eastAsia="Times New Roman" w:hAnsi="Aptos" w:cs="Calibri"/>
          <w:kern w:val="0"/>
          <w:sz w:val="22"/>
          <w:szCs w:val="22"/>
          <w:lang w:val="es-AR" w:eastAsia="es-ES"/>
          <w14:ligatures w14:val="none"/>
        </w:rPr>
        <w:t>”).</w:t>
      </w:r>
    </w:p>
    <w:p w14:paraId="09CD7B17" w14:textId="77777777" w:rsidR="00032352" w:rsidRPr="00B52734" w:rsidRDefault="00032352" w:rsidP="00032352">
      <w:pPr>
        <w:tabs>
          <w:tab w:val="left" w:pos="4111"/>
        </w:tabs>
        <w:spacing w:after="0" w:line="240" w:lineRule="auto"/>
        <w:ind w:right="-284"/>
        <w:jc w:val="both"/>
        <w:rPr>
          <w:rFonts w:ascii="Aptos" w:eastAsia="Times New Roman" w:hAnsi="Aptos" w:cs="Calibri"/>
          <w:kern w:val="0"/>
          <w:sz w:val="22"/>
          <w:szCs w:val="22"/>
          <w:u w:val="single"/>
          <w:lang w:val="es-AR" w:eastAsia="es-ES"/>
          <w14:ligatures w14:val="none"/>
        </w:rPr>
      </w:pPr>
    </w:p>
    <w:p w14:paraId="2AF7D429" w14:textId="77777777" w:rsidR="00032352" w:rsidRPr="00B52734" w:rsidRDefault="00032352" w:rsidP="00032352">
      <w:pPr>
        <w:widowControl w:val="0"/>
        <w:numPr>
          <w:ilvl w:val="0"/>
          <w:numId w:val="2"/>
        </w:numPr>
        <w:spacing w:after="0" w:line="240" w:lineRule="atLeast"/>
        <w:ind w:right="-17"/>
        <w:contextualSpacing/>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u w:val="single"/>
          <w:lang w:val="es-AR" w:eastAsia="es-ES"/>
          <w14:ligatures w14:val="none"/>
        </w:rPr>
        <w:t>Liquidación</w:t>
      </w:r>
      <w:r w:rsidRPr="00B52734">
        <w:rPr>
          <w:rFonts w:ascii="Aptos" w:eastAsia="Times New Roman" w:hAnsi="Aptos" w:cs="Calibri"/>
          <w:kern w:val="0"/>
          <w:sz w:val="22"/>
          <w:szCs w:val="22"/>
          <w:lang w:val="es-AR" w:eastAsia="es-ES"/>
          <w14:ligatures w14:val="none"/>
        </w:rPr>
        <w:t xml:space="preserve">: </w:t>
      </w:r>
    </w:p>
    <w:p w14:paraId="0092E238" w14:textId="77777777" w:rsidR="00032352" w:rsidRPr="00B52734" w:rsidRDefault="00032352" w:rsidP="00032352">
      <w:pPr>
        <w:widowControl w:val="0"/>
        <w:spacing w:after="0" w:line="240" w:lineRule="atLeast"/>
        <w:ind w:right="-17"/>
        <w:contextualSpacing/>
        <w:jc w:val="both"/>
        <w:rPr>
          <w:rFonts w:ascii="Aptos" w:eastAsia="Times New Roman" w:hAnsi="Aptos" w:cs="Calibri"/>
          <w:kern w:val="0"/>
          <w:sz w:val="22"/>
          <w:szCs w:val="22"/>
          <w:lang w:val="es-AR" w:eastAsia="es-ES"/>
          <w14:ligatures w14:val="none"/>
        </w:rPr>
      </w:pPr>
    </w:p>
    <w:p w14:paraId="1DFD3019" w14:textId="77777777" w:rsidR="00032352" w:rsidRPr="00B52734" w:rsidRDefault="00032352" w:rsidP="00032352">
      <w:pPr>
        <w:widowControl w:val="0"/>
        <w:spacing w:after="0" w:line="240" w:lineRule="atLeast"/>
        <w:ind w:right="-17"/>
        <w:contextualSpacing/>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lang w:val="es-AR" w:eastAsia="es-ES"/>
          <w14:ligatures w14:val="none"/>
        </w:rPr>
        <w:t>En caso de ser adjudicado, el Oferente solicita que las Obligaciones Negociables sean liquidadas como se indica a continuación:</w:t>
      </w:r>
    </w:p>
    <w:p w14:paraId="152AF9F1" w14:textId="77777777" w:rsidR="00032352" w:rsidRPr="00B52734" w:rsidRDefault="00032352" w:rsidP="00032352">
      <w:pPr>
        <w:tabs>
          <w:tab w:val="left" w:pos="4111"/>
        </w:tabs>
        <w:spacing w:after="0" w:line="240" w:lineRule="auto"/>
        <w:jc w:val="both"/>
        <w:rPr>
          <w:rFonts w:ascii="Aptos" w:eastAsia="Times New Roman" w:hAnsi="Aptos" w:cs="Calibri"/>
          <w:kern w:val="0"/>
          <w:sz w:val="22"/>
          <w:szCs w:val="22"/>
          <w:lang w:val="es-AR" w:eastAsia="es-ES"/>
          <w14:ligatures w14:val="none"/>
        </w:rPr>
      </w:pPr>
    </w:p>
    <w:p w14:paraId="68181145" w14:textId="7949BAC6" w:rsidR="00390CF8" w:rsidRDefault="00385486" w:rsidP="00032352">
      <w:pPr>
        <w:spacing w:after="0" w:line="240" w:lineRule="auto"/>
        <w:ind w:right="-271"/>
        <w:jc w:val="both"/>
        <w:rPr>
          <w:rFonts w:ascii="Aptos" w:eastAsia="Times New Roman" w:hAnsi="Aptos" w:cs="Calibri"/>
          <w:b/>
          <w:bCs/>
          <w:kern w:val="0"/>
          <w:sz w:val="22"/>
          <w:szCs w:val="22"/>
          <w:lang w:val="es-AR" w:eastAsia="es-ES"/>
          <w14:ligatures w14:val="none"/>
        </w:rPr>
      </w:pPr>
      <w:r w:rsidRPr="00B52734">
        <w:rPr>
          <w:rFonts w:ascii="Aptos" w:eastAsia="Times New Roman" w:hAnsi="Aptos" w:cs="Calibri"/>
          <w:b/>
          <w:bCs/>
          <w:kern w:val="0"/>
          <w:sz w:val="22"/>
          <w:szCs w:val="22"/>
          <w:lang w:val="es-AR" w:eastAsia="es-ES"/>
          <w14:ligatures w14:val="none"/>
        </w:rPr>
        <w:t>Integración en efectivo</w:t>
      </w:r>
    </w:p>
    <w:p w14:paraId="2EB511E6" w14:textId="77777777" w:rsidR="00B52734" w:rsidRPr="00B52734" w:rsidRDefault="00B52734" w:rsidP="00B52734">
      <w:p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Para la integración en efectivo, el Oferente transferirá los fondos necesarios para efectuar la integración del modo que se indica a continuación (marcar con una X, según corresponda):</w:t>
      </w:r>
    </w:p>
    <w:p w14:paraId="2FB69B30" w14:textId="77777777" w:rsidR="00B52734" w:rsidRPr="00B52734" w:rsidRDefault="00B52734" w:rsidP="00032352">
      <w:pPr>
        <w:spacing w:after="0" w:line="240" w:lineRule="auto"/>
        <w:ind w:right="-271"/>
        <w:jc w:val="both"/>
        <w:rPr>
          <w:rFonts w:ascii="Aptos" w:eastAsia="Times New Roman" w:hAnsi="Aptos" w:cs="Calibri"/>
          <w:b/>
          <w:bCs/>
          <w:kern w:val="0"/>
          <w:sz w:val="22"/>
          <w:szCs w:val="22"/>
          <w:lang w:val="es-AR" w:eastAsia="es-ES"/>
          <w14:ligatures w14:val="none"/>
        </w:rPr>
      </w:pPr>
    </w:p>
    <w:p w14:paraId="65C9DC9A" w14:textId="77777777" w:rsidR="00861BA2" w:rsidRPr="00B52734" w:rsidRDefault="00861BA2" w:rsidP="00032352">
      <w:pPr>
        <w:spacing w:after="0" w:line="240" w:lineRule="auto"/>
        <w:ind w:right="-271"/>
        <w:jc w:val="both"/>
        <w:rPr>
          <w:rFonts w:ascii="Aptos" w:eastAsia="Times New Roman" w:hAnsi="Aptos" w:cs="Calibri"/>
          <w:kern w:val="0"/>
          <w:sz w:val="22"/>
          <w:szCs w:val="22"/>
          <w:lang w:val="es-AR" w:eastAsia="es-ES"/>
          <w14:ligatures w14:val="none"/>
        </w:rPr>
      </w:pPr>
    </w:p>
    <w:p w14:paraId="58FF4C2F" w14:textId="77777777" w:rsidR="00032352" w:rsidRPr="00B52734" w:rsidRDefault="00032352" w:rsidP="00032352">
      <w:pPr>
        <w:spacing w:after="0" w:line="240" w:lineRule="auto"/>
        <w:ind w:right="-271"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(____) a través de CLEAR</w:t>
      </w:r>
    </w:p>
    <w:p w14:paraId="0E96248D" w14:textId="5080C33F" w:rsidR="00861BA2" w:rsidRPr="00B52734" w:rsidRDefault="00861BA2" w:rsidP="00032352">
      <w:pPr>
        <w:spacing w:after="0" w:line="240" w:lineRule="auto"/>
        <w:ind w:right="-271"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(____) a través del Agente colocador</w:t>
      </w:r>
      <w:r w:rsidR="00390CF8" w:rsidRPr="00B52734">
        <w:rPr>
          <w:rFonts w:ascii="Aptos" w:eastAsia="Times New Roman" w:hAnsi="Aptos" w:cs="Calibri"/>
          <w:kern w:val="0"/>
          <w:sz w:val="22"/>
          <w:szCs w:val="22"/>
          <w:lang w:val="es-AR" w:eastAsia="es-ES"/>
          <w14:ligatures w14:val="none"/>
        </w:rPr>
        <w:t>:</w:t>
      </w:r>
    </w:p>
    <w:p w14:paraId="1CC090CA" w14:textId="77777777" w:rsidR="00861BA2" w:rsidRPr="00B52734" w:rsidRDefault="00861BA2" w:rsidP="00032352">
      <w:pPr>
        <w:spacing w:after="0" w:line="240" w:lineRule="auto"/>
        <w:ind w:right="-271" w:firstLine="708"/>
        <w:jc w:val="both"/>
        <w:rPr>
          <w:rFonts w:ascii="Aptos" w:eastAsia="Times New Roman" w:hAnsi="Aptos" w:cs="Calibri"/>
          <w:kern w:val="0"/>
          <w:sz w:val="22"/>
          <w:szCs w:val="22"/>
          <w:lang w:val="es-AR" w:eastAsia="es-ES"/>
          <w14:ligatures w14:val="none"/>
        </w:rPr>
      </w:pPr>
    </w:p>
    <w:p w14:paraId="1FA1BE2E" w14:textId="67F231EF" w:rsidR="00861BA2" w:rsidRPr="00B52734" w:rsidRDefault="00390CF8" w:rsidP="00032352">
      <w:pPr>
        <w:spacing w:after="0" w:line="240" w:lineRule="auto"/>
        <w:ind w:right="-271"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               (</w:t>
      </w:r>
      <w:r w:rsidR="00861BA2" w:rsidRPr="00B52734">
        <w:rPr>
          <w:rFonts w:ascii="Aptos" w:eastAsia="Times New Roman" w:hAnsi="Aptos" w:cs="Calibri"/>
          <w:kern w:val="0"/>
          <w:sz w:val="22"/>
          <w:szCs w:val="22"/>
          <w:lang w:val="es-AR" w:eastAsia="es-ES"/>
          <w14:ligatures w14:val="none"/>
        </w:rPr>
        <w:t>Obligaciones Negociables Clase XXII</w:t>
      </w:r>
      <w:r w:rsidRPr="00B52734">
        <w:rPr>
          <w:rFonts w:ascii="Aptos" w:eastAsia="Times New Roman" w:hAnsi="Aptos" w:cs="Calibri"/>
          <w:kern w:val="0"/>
          <w:sz w:val="22"/>
          <w:szCs w:val="22"/>
          <w:lang w:val="es-AR" w:eastAsia="es-ES"/>
          <w14:ligatures w14:val="none"/>
        </w:rPr>
        <w:t>)</w:t>
      </w:r>
    </w:p>
    <w:p w14:paraId="61130587" w14:textId="77777777" w:rsidR="00390CF8" w:rsidRPr="00B52734" w:rsidRDefault="00390CF8" w:rsidP="00032352">
      <w:pPr>
        <w:spacing w:after="0" w:line="240" w:lineRule="auto"/>
        <w:ind w:right="-271" w:firstLine="708"/>
        <w:jc w:val="both"/>
        <w:rPr>
          <w:rFonts w:ascii="Aptos" w:eastAsia="Times New Roman" w:hAnsi="Aptos" w:cs="Calibri"/>
          <w:kern w:val="0"/>
          <w:sz w:val="22"/>
          <w:szCs w:val="22"/>
          <w:lang w:val="es-AR" w:eastAsia="es-ES"/>
          <w14:ligatures w14:val="none"/>
        </w:rPr>
      </w:pPr>
    </w:p>
    <w:p w14:paraId="49614C4E" w14:textId="55DB9946" w:rsidR="00390CF8" w:rsidRPr="00B52734" w:rsidRDefault="00390CF8" w:rsidP="00461C0E">
      <w:pPr>
        <w:ind w:left="1440" w:right="-271"/>
        <w:rPr>
          <w:rFonts w:cstheme="minorHAnsi"/>
          <w:sz w:val="22"/>
          <w:szCs w:val="22"/>
          <w:lang w:val="es-AR"/>
        </w:rPr>
      </w:pPr>
      <w:r w:rsidRPr="00B52734">
        <w:rPr>
          <w:rFonts w:cstheme="minorHAnsi"/>
          <w:bCs/>
          <w:sz w:val="22"/>
          <w:szCs w:val="22"/>
          <w:lang w:val="es-AR"/>
        </w:rPr>
        <w:t>(_</w:t>
      </w:r>
      <w:r w:rsidRPr="00B52734">
        <w:rPr>
          <w:rFonts w:cstheme="minorHAnsi"/>
          <w:bCs/>
          <w:sz w:val="22"/>
          <w:szCs w:val="22"/>
          <w:u w:val="single"/>
          <w:lang w:val="es-AR"/>
        </w:rPr>
        <w:t xml:space="preserve">   </w:t>
      </w:r>
      <w:r w:rsidRPr="00B52734">
        <w:rPr>
          <w:rFonts w:cstheme="minorHAnsi"/>
          <w:bCs/>
          <w:sz w:val="22"/>
          <w:szCs w:val="22"/>
          <w:lang w:val="es-AR"/>
        </w:rPr>
        <w:t xml:space="preserve">__) En la </w:t>
      </w:r>
      <w:r w:rsidRPr="00B52734">
        <w:rPr>
          <w:rFonts w:cstheme="minorHAnsi"/>
          <w:sz w:val="22"/>
          <w:szCs w:val="22"/>
          <w:lang w:val="es-AR"/>
        </w:rPr>
        <w:t xml:space="preserve">cuenta monetaria en pesos </w:t>
      </w:r>
      <w:proofErr w:type="spellStart"/>
      <w:r w:rsidRPr="00B52734">
        <w:rPr>
          <w:rFonts w:cstheme="minorHAnsi"/>
          <w:sz w:val="22"/>
          <w:szCs w:val="22"/>
          <w:lang w:val="es-AR"/>
        </w:rPr>
        <w:t>N°</w:t>
      </w:r>
      <w:proofErr w:type="spellEnd"/>
      <w:r w:rsidRPr="00B52734">
        <w:rPr>
          <w:rFonts w:cstheme="minorHAnsi"/>
          <w:sz w:val="22"/>
          <w:szCs w:val="22"/>
          <w:lang w:val="es-AR"/>
        </w:rPr>
        <w:t xml:space="preserve"> ______________abierta en Banco de Servicios y Transacciones S.A. (la "</w:t>
      </w:r>
      <w:r w:rsidRPr="00B52734">
        <w:rPr>
          <w:rFonts w:cstheme="minorHAnsi"/>
          <w:b/>
          <w:sz w:val="22"/>
          <w:szCs w:val="22"/>
          <w:lang w:val="es-AR"/>
        </w:rPr>
        <w:t>Cuenta Monetaria</w:t>
      </w:r>
      <w:r w:rsidRPr="00B52734">
        <w:rPr>
          <w:rFonts w:cstheme="minorHAnsi"/>
          <w:sz w:val="22"/>
          <w:szCs w:val="22"/>
          <w:lang w:val="es-AR"/>
        </w:rPr>
        <w:t>"), el Oferente autoriza en forma irrevocable a Banco de Servicios y Transacciones S.A. a debitar de la Cuenta Monetaria en la Fecha de Emisión y Liquidación, el importe en pesos correspondiente al Precio de Emisión de las Obligaciones Negociables.</w:t>
      </w:r>
    </w:p>
    <w:p w14:paraId="34B93264" w14:textId="77777777" w:rsidR="00390CF8" w:rsidRPr="00B52734" w:rsidRDefault="00390CF8" w:rsidP="00461C0E">
      <w:pPr>
        <w:ind w:left="1440" w:right="-271"/>
        <w:rPr>
          <w:rFonts w:cstheme="minorHAnsi"/>
          <w:sz w:val="22"/>
          <w:szCs w:val="22"/>
          <w:lang w:val="es-AR"/>
        </w:rPr>
      </w:pPr>
    </w:p>
    <w:p w14:paraId="3FCEE8F1" w14:textId="71B17CAA" w:rsidR="00390CF8" w:rsidRPr="00B52734" w:rsidRDefault="00390CF8" w:rsidP="00390CF8">
      <w:pPr>
        <w:ind w:left="1440"/>
        <w:rPr>
          <w:rFonts w:cstheme="minorHAnsi"/>
          <w:sz w:val="22"/>
          <w:szCs w:val="22"/>
          <w:lang w:val="es-AR"/>
        </w:rPr>
      </w:pPr>
      <w:r w:rsidRPr="00B52734">
        <w:rPr>
          <w:rFonts w:cstheme="minorHAnsi"/>
          <w:sz w:val="22"/>
          <w:szCs w:val="22"/>
          <w:lang w:val="es-AR"/>
        </w:rPr>
        <w:t xml:space="preserve">(____) En la cuenta monetaria en pesos </w:t>
      </w:r>
      <w:proofErr w:type="spellStart"/>
      <w:r w:rsidRPr="00B52734">
        <w:rPr>
          <w:rFonts w:cstheme="minorHAnsi"/>
          <w:sz w:val="22"/>
          <w:szCs w:val="22"/>
          <w:lang w:val="es-AR"/>
        </w:rPr>
        <w:t>N°</w:t>
      </w:r>
      <w:proofErr w:type="spellEnd"/>
      <w:r w:rsidRPr="00B52734">
        <w:rPr>
          <w:rFonts w:cstheme="minorHAnsi"/>
          <w:sz w:val="22"/>
          <w:szCs w:val="22"/>
          <w:lang w:val="es-AR"/>
        </w:rPr>
        <w:t xml:space="preserve"> 338 de Banco de Servicios y Transacciones S.A. abierta en el Banco Central de la República Argentina, a más tardar en la Fecha de Emisión y Liquidación, el importe en pesos correspondiente al Precio de Emisión de las Obligaciones Negociables.</w:t>
      </w:r>
    </w:p>
    <w:p w14:paraId="3CE15E08" w14:textId="77777777" w:rsidR="00390CF8" w:rsidRPr="00B52734" w:rsidRDefault="00390CF8" w:rsidP="00390CF8">
      <w:pPr>
        <w:ind w:left="1440"/>
        <w:rPr>
          <w:rFonts w:cstheme="minorHAnsi"/>
          <w:sz w:val="22"/>
          <w:szCs w:val="22"/>
          <w:lang w:val="es-AR"/>
        </w:rPr>
      </w:pPr>
    </w:p>
    <w:p w14:paraId="4BCDB20E" w14:textId="50FC70C4" w:rsidR="00390CF8" w:rsidRPr="00B52734" w:rsidRDefault="00390CF8" w:rsidP="00390CF8">
      <w:pPr>
        <w:ind w:left="1440"/>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(Obligaciones Negociables Clase XXIII)</w:t>
      </w:r>
    </w:p>
    <w:p w14:paraId="543C559C" w14:textId="32063BC4" w:rsidR="00390CF8" w:rsidRPr="00B52734" w:rsidRDefault="00390CF8" w:rsidP="00390CF8">
      <w:pPr>
        <w:ind w:left="1440" w:right="-271"/>
        <w:rPr>
          <w:rFonts w:cstheme="minorHAnsi"/>
          <w:sz w:val="22"/>
          <w:szCs w:val="22"/>
          <w:lang w:val="es-AR"/>
        </w:rPr>
      </w:pPr>
      <w:r w:rsidRPr="00B52734">
        <w:rPr>
          <w:rFonts w:cstheme="minorHAnsi"/>
          <w:bCs/>
          <w:sz w:val="22"/>
          <w:szCs w:val="22"/>
          <w:lang w:val="es-AR"/>
        </w:rPr>
        <w:t>(_</w:t>
      </w:r>
      <w:r w:rsidRPr="00B52734">
        <w:rPr>
          <w:rFonts w:cstheme="minorHAnsi"/>
          <w:bCs/>
          <w:sz w:val="22"/>
          <w:szCs w:val="22"/>
          <w:u w:val="single"/>
          <w:lang w:val="es-AR"/>
        </w:rPr>
        <w:t xml:space="preserve">   </w:t>
      </w:r>
      <w:r w:rsidRPr="00B52734">
        <w:rPr>
          <w:rFonts w:cstheme="minorHAnsi"/>
          <w:bCs/>
          <w:sz w:val="22"/>
          <w:szCs w:val="22"/>
          <w:lang w:val="es-AR"/>
        </w:rPr>
        <w:t xml:space="preserve">__) En la </w:t>
      </w:r>
      <w:r w:rsidRPr="00B52734">
        <w:rPr>
          <w:rFonts w:cstheme="minorHAnsi"/>
          <w:sz w:val="22"/>
          <w:szCs w:val="22"/>
          <w:lang w:val="es-AR"/>
        </w:rPr>
        <w:t xml:space="preserve">cuenta monetaria en </w:t>
      </w:r>
      <w:r w:rsidR="00B52734" w:rsidRPr="00B52734">
        <w:rPr>
          <w:rFonts w:cstheme="minorHAnsi"/>
          <w:sz w:val="22"/>
          <w:szCs w:val="22"/>
          <w:lang w:val="es-AR"/>
        </w:rPr>
        <w:t>dólares</w:t>
      </w:r>
      <w:r w:rsidRPr="00B52734">
        <w:rPr>
          <w:rFonts w:cstheme="minorHAnsi"/>
          <w:sz w:val="22"/>
          <w:szCs w:val="22"/>
          <w:lang w:val="es-AR"/>
        </w:rPr>
        <w:t xml:space="preserve"> </w:t>
      </w:r>
      <w:proofErr w:type="spellStart"/>
      <w:r w:rsidRPr="00B52734">
        <w:rPr>
          <w:rFonts w:cstheme="minorHAnsi"/>
          <w:sz w:val="22"/>
          <w:szCs w:val="22"/>
          <w:lang w:val="es-AR"/>
        </w:rPr>
        <w:t>N°</w:t>
      </w:r>
      <w:proofErr w:type="spellEnd"/>
      <w:r w:rsidRPr="00B52734">
        <w:rPr>
          <w:rFonts w:cstheme="minorHAnsi"/>
          <w:sz w:val="22"/>
          <w:szCs w:val="22"/>
          <w:lang w:val="es-AR"/>
        </w:rPr>
        <w:t xml:space="preserve"> ______________abierta en Banco de Servicios y Transacciones S.A. (la "</w:t>
      </w:r>
      <w:r w:rsidRPr="00B52734">
        <w:rPr>
          <w:rFonts w:cstheme="minorHAnsi"/>
          <w:b/>
          <w:sz w:val="22"/>
          <w:szCs w:val="22"/>
          <w:lang w:val="es-AR"/>
        </w:rPr>
        <w:t>Cuenta Monetaria</w:t>
      </w:r>
      <w:r w:rsidRPr="00B52734">
        <w:rPr>
          <w:rFonts w:cstheme="minorHAnsi"/>
          <w:sz w:val="22"/>
          <w:szCs w:val="22"/>
          <w:lang w:val="es-AR"/>
        </w:rPr>
        <w:t xml:space="preserve">"), el Oferente autoriza en forma irrevocable a Banco de Servicios y Transacciones S.A. a debitar de la Cuenta Monetaria en la Fecha de Emisión y Liquidación, el importe en </w:t>
      </w:r>
      <w:r w:rsidR="00B52734" w:rsidRPr="00B52734">
        <w:rPr>
          <w:rFonts w:cstheme="minorHAnsi"/>
          <w:sz w:val="22"/>
          <w:szCs w:val="22"/>
          <w:lang w:val="es-AR"/>
        </w:rPr>
        <w:t>dólares</w:t>
      </w:r>
      <w:r w:rsidRPr="00B52734">
        <w:rPr>
          <w:rFonts w:cstheme="minorHAnsi"/>
          <w:sz w:val="22"/>
          <w:szCs w:val="22"/>
          <w:lang w:val="es-AR"/>
        </w:rPr>
        <w:t xml:space="preserve"> correspondiente al Precio de Emisión de las Obligaciones Negociables.</w:t>
      </w:r>
    </w:p>
    <w:p w14:paraId="00176B2E" w14:textId="23EC988F" w:rsidR="00390CF8" w:rsidRPr="00B52734" w:rsidRDefault="00390CF8" w:rsidP="00390CF8">
      <w:pPr>
        <w:ind w:left="1440"/>
        <w:rPr>
          <w:rFonts w:cstheme="minorHAnsi"/>
          <w:sz w:val="22"/>
          <w:szCs w:val="22"/>
          <w:lang w:val="es-AR"/>
        </w:rPr>
      </w:pPr>
      <w:r w:rsidRPr="00B52734">
        <w:rPr>
          <w:rFonts w:cstheme="minorHAnsi"/>
          <w:sz w:val="22"/>
          <w:szCs w:val="22"/>
          <w:lang w:val="es-AR"/>
        </w:rPr>
        <w:t xml:space="preserve">(____) </w:t>
      </w:r>
      <w:r w:rsidRPr="00B52734">
        <w:rPr>
          <w:rFonts w:ascii="Aptos" w:eastAsia="Times New Roman" w:hAnsi="Aptos" w:cs="Calibri"/>
          <w:kern w:val="0"/>
          <w:sz w:val="22"/>
          <w:szCs w:val="22"/>
          <w:lang w:val="es-AR" w:eastAsia="es-ES"/>
          <w14:ligatures w14:val="none"/>
        </w:rPr>
        <w:t xml:space="preserve">En la cuenta monetaria en </w:t>
      </w:r>
      <w:r w:rsidR="00B52734" w:rsidRPr="00B52734">
        <w:rPr>
          <w:rFonts w:ascii="Aptos" w:eastAsia="Times New Roman" w:hAnsi="Aptos" w:cs="Calibri"/>
          <w:kern w:val="0"/>
          <w:sz w:val="22"/>
          <w:szCs w:val="22"/>
          <w:lang w:val="es-AR" w:eastAsia="es-ES"/>
          <w14:ligatures w14:val="none"/>
        </w:rPr>
        <w:t>dólares</w:t>
      </w:r>
      <w:r w:rsidRPr="00B52734">
        <w:rPr>
          <w:rFonts w:ascii="Aptos" w:eastAsia="Times New Roman" w:hAnsi="Aptos" w:cs="Calibri"/>
          <w:kern w:val="0"/>
          <w:sz w:val="22"/>
          <w:szCs w:val="22"/>
          <w:lang w:val="es-AR" w:eastAsia="es-ES"/>
          <w14:ligatures w14:val="none"/>
        </w:rPr>
        <w:t xml:space="preserve"> </w:t>
      </w:r>
      <w:proofErr w:type="spellStart"/>
      <w:r w:rsidRPr="00B52734">
        <w:rPr>
          <w:rFonts w:ascii="Aptos" w:eastAsia="Times New Roman" w:hAnsi="Aptos" w:cs="Calibri"/>
          <w:kern w:val="0"/>
          <w:sz w:val="22"/>
          <w:szCs w:val="22"/>
          <w:lang w:val="es-AR" w:eastAsia="es-ES"/>
          <w14:ligatures w14:val="none"/>
        </w:rPr>
        <w:t>N°</w:t>
      </w:r>
      <w:proofErr w:type="spellEnd"/>
      <w:r w:rsidRPr="00B52734">
        <w:rPr>
          <w:rFonts w:ascii="Aptos" w:eastAsia="Times New Roman" w:hAnsi="Aptos" w:cs="Calibri"/>
          <w:kern w:val="0"/>
          <w:sz w:val="22"/>
          <w:szCs w:val="22"/>
          <w:lang w:val="es-AR" w:eastAsia="es-ES"/>
          <w14:ligatures w14:val="none"/>
        </w:rPr>
        <w:t xml:space="preserve"> 80338 de Banco de Servicios y Transacciones S.A. abierta en el Banco Central de la República Argentina, a más tardar en la Fecha de Emisión y Liquidación, el importe en </w:t>
      </w:r>
      <w:r w:rsidR="00B52734" w:rsidRPr="00B52734">
        <w:rPr>
          <w:rFonts w:ascii="Aptos" w:eastAsia="Times New Roman" w:hAnsi="Aptos" w:cs="Calibri"/>
          <w:kern w:val="0"/>
          <w:sz w:val="22"/>
          <w:szCs w:val="22"/>
          <w:lang w:val="es-AR" w:eastAsia="es-ES"/>
          <w14:ligatures w14:val="none"/>
        </w:rPr>
        <w:t>dólares</w:t>
      </w:r>
      <w:r w:rsidRPr="00B52734">
        <w:rPr>
          <w:rFonts w:ascii="Aptos" w:eastAsia="Times New Roman" w:hAnsi="Aptos" w:cs="Calibri"/>
          <w:kern w:val="0"/>
          <w:sz w:val="22"/>
          <w:szCs w:val="22"/>
          <w:lang w:val="es-AR" w:eastAsia="es-ES"/>
          <w14:ligatures w14:val="none"/>
        </w:rPr>
        <w:t xml:space="preserve"> correspondiente al Precio de Emisión de las Obligaciones Negociables.</w:t>
      </w:r>
    </w:p>
    <w:p w14:paraId="519BA2EC" w14:textId="77777777" w:rsidR="00390CF8" w:rsidRPr="00B52734" w:rsidRDefault="00390CF8" w:rsidP="00390CF8">
      <w:pPr>
        <w:ind w:left="1440" w:right="-271"/>
        <w:rPr>
          <w:rFonts w:cstheme="minorHAnsi"/>
          <w:sz w:val="22"/>
          <w:szCs w:val="22"/>
          <w:lang w:val="es-AR"/>
        </w:rPr>
      </w:pPr>
    </w:p>
    <w:p w14:paraId="5D094393" w14:textId="150CA817" w:rsidR="00390CF8" w:rsidRPr="00B52734" w:rsidRDefault="00385486" w:rsidP="00461C0E">
      <w:pPr>
        <w:ind w:right="-271"/>
        <w:rPr>
          <w:rFonts w:cstheme="minorHAnsi"/>
          <w:b/>
          <w:bCs/>
          <w:sz w:val="22"/>
          <w:szCs w:val="22"/>
          <w:lang w:val="es-AR"/>
        </w:rPr>
      </w:pPr>
      <w:r w:rsidRPr="00B52734">
        <w:rPr>
          <w:rFonts w:ascii="Aptos" w:eastAsia="Times New Roman" w:hAnsi="Aptos" w:cs="Calibri"/>
          <w:b/>
          <w:bCs/>
          <w:kern w:val="0"/>
          <w:sz w:val="22"/>
          <w:szCs w:val="22"/>
          <w:lang w:val="es-AR" w:eastAsia="es-ES"/>
          <w14:ligatures w14:val="none"/>
        </w:rPr>
        <w:lastRenderedPageBreak/>
        <w:t xml:space="preserve">Integración en </w:t>
      </w:r>
      <w:r w:rsidRPr="00B52734">
        <w:rPr>
          <w:rFonts w:cstheme="minorHAnsi"/>
          <w:b/>
          <w:bCs/>
          <w:sz w:val="22"/>
          <w:szCs w:val="22"/>
          <w:lang w:val="es-AR"/>
        </w:rPr>
        <w:t>especie:</w:t>
      </w:r>
    </w:p>
    <w:p w14:paraId="442596B8" w14:textId="1DF4A9C0" w:rsidR="00385486" w:rsidRPr="00B52734" w:rsidRDefault="00032352" w:rsidP="00385486">
      <w:pPr>
        <w:ind w:right="-142"/>
        <w:jc w:val="both"/>
        <w:rPr>
          <w:rFonts w:ascii="Aptos" w:eastAsia="Calibri" w:hAnsi="Aptos" w:cs="Calibri"/>
          <w:kern w:val="0"/>
          <w:sz w:val="22"/>
          <w:szCs w:val="22"/>
          <w:lang w:val="es-AR"/>
          <w14:ligatures w14:val="none"/>
        </w:rPr>
      </w:pPr>
      <w:r w:rsidRPr="00B52734">
        <w:rPr>
          <w:rFonts w:ascii="Aptos" w:eastAsia="Calibri" w:hAnsi="Aptos" w:cs="Calibri"/>
          <w:kern w:val="0"/>
          <w:sz w:val="22"/>
          <w:szCs w:val="22"/>
          <w:lang w:val="es-AR"/>
          <w14:ligatures w14:val="none"/>
        </w:rPr>
        <w:t xml:space="preserve">Para la integración en especie de las Obligaciones Negociables Clase XXIII, el Oferente transferiría las Obligaciones Negociables XXI a la cuenta depositante </w:t>
      </w:r>
      <w:proofErr w:type="spellStart"/>
      <w:r w:rsidRPr="00B52734">
        <w:rPr>
          <w:rFonts w:ascii="Aptos" w:eastAsia="Calibri" w:hAnsi="Aptos" w:cs="Calibri"/>
          <w:kern w:val="0"/>
          <w:sz w:val="22"/>
          <w:szCs w:val="22"/>
          <w:lang w:val="es-AR"/>
          <w14:ligatures w14:val="none"/>
        </w:rPr>
        <w:t>N°</w:t>
      </w:r>
      <w:proofErr w:type="spellEnd"/>
      <w:r w:rsidRPr="00B52734">
        <w:rPr>
          <w:rFonts w:ascii="Aptos" w:eastAsia="Calibri" w:hAnsi="Aptos" w:cs="Calibri"/>
          <w:kern w:val="0"/>
          <w:sz w:val="22"/>
          <w:szCs w:val="22"/>
          <w:lang w:val="es-AR"/>
          <w14:ligatures w14:val="none"/>
        </w:rPr>
        <w:t xml:space="preserve"> 1675, </w:t>
      </w:r>
      <w:r w:rsidR="00385486" w:rsidRPr="00B52734">
        <w:rPr>
          <w:rFonts w:ascii="Aptos" w:eastAsia="Calibri" w:hAnsi="Aptos" w:cs="Calibri"/>
          <w:kern w:val="0"/>
          <w:sz w:val="22"/>
          <w:szCs w:val="22"/>
          <w:lang w:val="es-AR"/>
          <w14:ligatures w14:val="none"/>
        </w:rPr>
        <w:t xml:space="preserve">de titularidad de Banco de Servicios y Transacciones S.A., cuenta comitente </w:t>
      </w:r>
      <w:proofErr w:type="spellStart"/>
      <w:r w:rsidR="00385486" w:rsidRPr="00B52734">
        <w:rPr>
          <w:rFonts w:ascii="Aptos" w:eastAsia="Calibri" w:hAnsi="Aptos" w:cs="Calibri"/>
          <w:kern w:val="0"/>
          <w:sz w:val="22"/>
          <w:szCs w:val="22"/>
          <w:lang w:val="es-AR"/>
          <w14:ligatures w14:val="none"/>
        </w:rPr>
        <w:t>n°</w:t>
      </w:r>
      <w:proofErr w:type="spellEnd"/>
      <w:r w:rsidR="00385486" w:rsidRPr="00B52734">
        <w:rPr>
          <w:rFonts w:ascii="Aptos" w:eastAsia="Calibri" w:hAnsi="Aptos" w:cs="Calibri"/>
          <w:kern w:val="0"/>
          <w:sz w:val="22"/>
          <w:szCs w:val="22"/>
          <w:lang w:val="es-AR"/>
          <w14:ligatures w14:val="none"/>
        </w:rPr>
        <w:t xml:space="preserve"> 349 de titularidad del Colocador abierta en Caja de Valores</w:t>
      </w:r>
      <w:r w:rsidRPr="00B52734">
        <w:rPr>
          <w:rFonts w:ascii="Aptos" w:eastAsia="Calibri" w:hAnsi="Aptos" w:cs="Calibri"/>
          <w:kern w:val="0"/>
          <w:sz w:val="22"/>
          <w:szCs w:val="22"/>
          <w:lang w:val="es-AR"/>
          <w14:ligatures w14:val="none"/>
        </w:rPr>
        <w:t>, a más tardar a las 14:00 horas</w:t>
      </w:r>
      <w:r w:rsidR="00385486" w:rsidRPr="00B52734">
        <w:rPr>
          <w:rFonts w:ascii="Aptos" w:eastAsia="Calibri" w:hAnsi="Aptos" w:cs="Calibri"/>
          <w:kern w:val="0"/>
          <w:sz w:val="22"/>
          <w:szCs w:val="22"/>
          <w:lang w:val="es-AR"/>
          <w14:ligatures w14:val="none"/>
        </w:rPr>
        <w:t xml:space="preserve"> del día 14 de julio de 2025 el importe de las ON Clase XXI que corresponda para integrar las Obligaciones Negociables que le hayan sido adjudicadas, las cuales serán transferidas desde la cuenta depositante </w:t>
      </w:r>
      <w:proofErr w:type="spellStart"/>
      <w:r w:rsidR="00385486" w:rsidRPr="00B52734">
        <w:rPr>
          <w:rFonts w:ascii="Aptos" w:eastAsia="Calibri" w:hAnsi="Aptos" w:cs="Calibri"/>
          <w:kern w:val="0"/>
          <w:sz w:val="22"/>
          <w:szCs w:val="22"/>
          <w:lang w:val="es-AR"/>
          <w14:ligatures w14:val="none"/>
        </w:rPr>
        <w:t>n°</w:t>
      </w:r>
      <w:proofErr w:type="spellEnd"/>
      <w:r w:rsidR="00385486" w:rsidRPr="00B52734">
        <w:rPr>
          <w:rFonts w:ascii="Aptos" w:eastAsia="Calibri" w:hAnsi="Aptos" w:cs="Calibri"/>
          <w:kern w:val="0"/>
          <w:sz w:val="22"/>
          <w:szCs w:val="22"/>
          <w:lang w:val="es-AR"/>
          <w14:ligatures w14:val="none"/>
        </w:rPr>
        <w:t xml:space="preserve"> [     ] de titularidad de [     ], cuenta comitente </w:t>
      </w:r>
      <w:proofErr w:type="spellStart"/>
      <w:r w:rsidR="00385486" w:rsidRPr="00B52734">
        <w:rPr>
          <w:rFonts w:ascii="Aptos" w:eastAsia="Calibri" w:hAnsi="Aptos" w:cs="Calibri"/>
          <w:kern w:val="0"/>
          <w:sz w:val="22"/>
          <w:szCs w:val="22"/>
          <w:lang w:val="es-AR"/>
          <w14:ligatures w14:val="none"/>
        </w:rPr>
        <w:t>n°</w:t>
      </w:r>
      <w:proofErr w:type="spellEnd"/>
      <w:r w:rsidR="00385486" w:rsidRPr="00B52734">
        <w:rPr>
          <w:rFonts w:ascii="Aptos" w:eastAsia="Calibri" w:hAnsi="Aptos" w:cs="Calibri"/>
          <w:kern w:val="0"/>
          <w:sz w:val="22"/>
          <w:szCs w:val="22"/>
          <w:lang w:val="es-AR"/>
          <w14:ligatures w14:val="none"/>
        </w:rPr>
        <w:t xml:space="preserve">  [     ] de titularidad del Oferente abierta en Caja de Valores.  Una vez instruida la transferencia deberán contactarse con el Colocador, para notificar fecha de pago, importe y banco emisor, para su efectiva acreditación y cumplimiento de la integración.</w:t>
      </w:r>
    </w:p>
    <w:p w14:paraId="0C7290C6" w14:textId="77777777" w:rsidR="00385486" w:rsidRPr="00B52734" w:rsidRDefault="00385486" w:rsidP="00385486">
      <w:pPr>
        <w:ind w:right="-142"/>
        <w:jc w:val="both"/>
        <w:rPr>
          <w:rFonts w:ascii="Aptos" w:eastAsia="Calibri" w:hAnsi="Aptos" w:cs="Calibri"/>
          <w:kern w:val="0"/>
          <w:sz w:val="22"/>
          <w:szCs w:val="22"/>
          <w:lang w:val="es-AR"/>
          <w14:ligatures w14:val="none"/>
        </w:rPr>
      </w:pPr>
    </w:p>
    <w:p w14:paraId="25899E6C" w14:textId="54E79FA3" w:rsidR="00385486" w:rsidRPr="00B52734" w:rsidRDefault="00385486" w:rsidP="00461C0E">
      <w:pPr>
        <w:spacing w:line="240" w:lineRule="atLeast"/>
        <w:ind w:right="-142"/>
        <w:jc w:val="both"/>
        <w:rPr>
          <w:rFonts w:ascii="Aptos" w:eastAsia="Calibri" w:hAnsi="Aptos" w:cs="Calibri"/>
          <w:kern w:val="0"/>
          <w:sz w:val="22"/>
          <w:szCs w:val="22"/>
          <w:lang w:val="es-AR"/>
          <w14:ligatures w14:val="none"/>
        </w:rPr>
      </w:pPr>
      <w:r w:rsidRPr="00B52734">
        <w:rPr>
          <w:rFonts w:ascii="Aptos" w:eastAsia="Calibri" w:hAnsi="Aptos" w:cs="Calibri"/>
          <w:kern w:val="0"/>
          <w:sz w:val="22"/>
          <w:szCs w:val="22"/>
          <w:lang w:val="es-AR"/>
          <w14:ligatures w14:val="none"/>
        </w:rPr>
        <w:t>Los intereses devengados y no pagados de las ON Clase X</w:t>
      </w:r>
      <w:r w:rsidR="0068144D" w:rsidRPr="00B52734">
        <w:rPr>
          <w:rFonts w:ascii="Aptos" w:eastAsia="Calibri" w:hAnsi="Aptos" w:cs="Calibri"/>
          <w:kern w:val="0"/>
          <w:sz w:val="22"/>
          <w:szCs w:val="22"/>
          <w:lang w:val="es-AR"/>
          <w14:ligatures w14:val="none"/>
        </w:rPr>
        <w:t>XI</w:t>
      </w:r>
      <w:r w:rsidRPr="00B52734">
        <w:rPr>
          <w:rFonts w:ascii="Aptos" w:eastAsia="Calibri" w:hAnsi="Aptos" w:cs="Calibri"/>
          <w:kern w:val="0"/>
          <w:sz w:val="22"/>
          <w:szCs w:val="22"/>
          <w:lang w:val="es-AR"/>
          <w14:ligatures w14:val="none"/>
        </w:rPr>
        <w:t xml:space="preserve"> de la Emisora entregados en canje hasta la Fecha de Emisión y Liquidació</w:t>
      </w:r>
      <w:r w:rsidR="00A3406B" w:rsidRPr="00B52734">
        <w:rPr>
          <w:rFonts w:ascii="Aptos" w:eastAsia="Calibri" w:hAnsi="Aptos" w:cs="Calibri"/>
          <w:kern w:val="0"/>
          <w:sz w:val="22"/>
          <w:szCs w:val="22"/>
          <w:lang w:val="es-AR"/>
          <w14:ligatures w14:val="none"/>
        </w:rPr>
        <w:t>n</w:t>
      </w:r>
      <w:r w:rsidRPr="00B52734">
        <w:rPr>
          <w:rFonts w:ascii="Aptos" w:eastAsia="Calibri" w:hAnsi="Aptos" w:cs="Calibri"/>
          <w:kern w:val="0"/>
          <w:sz w:val="22"/>
          <w:szCs w:val="22"/>
          <w:lang w:val="es-AR"/>
          <w14:ligatures w14:val="none"/>
        </w:rPr>
        <w:t xml:space="preserve">, deberán ser transferidos a la Cuenta corriente en dólares </w:t>
      </w:r>
      <w:proofErr w:type="spellStart"/>
      <w:r w:rsidRPr="00B52734">
        <w:rPr>
          <w:rFonts w:ascii="Aptos" w:eastAsia="Calibri" w:hAnsi="Aptos" w:cs="Calibri"/>
          <w:kern w:val="0"/>
          <w:sz w:val="22"/>
          <w:szCs w:val="22"/>
          <w:lang w:val="es-AR"/>
          <w14:ligatures w14:val="none"/>
        </w:rPr>
        <w:t>N</w:t>
      </w:r>
      <w:proofErr w:type="gramStart"/>
      <w:r w:rsidRPr="00B52734">
        <w:rPr>
          <w:rFonts w:ascii="Aptos" w:eastAsia="Calibri" w:hAnsi="Aptos" w:cs="Calibri"/>
          <w:kern w:val="0"/>
          <w:sz w:val="22"/>
          <w:szCs w:val="22"/>
          <w:lang w:val="es-AR"/>
          <w14:ligatures w14:val="none"/>
        </w:rPr>
        <w:t>°</w:t>
      </w:r>
      <w:proofErr w:type="spellEnd"/>
      <w:r w:rsidRPr="00B52734">
        <w:rPr>
          <w:rFonts w:ascii="Aptos" w:eastAsia="Calibri" w:hAnsi="Aptos" w:cs="Calibri"/>
          <w:kern w:val="0"/>
          <w:sz w:val="22"/>
          <w:szCs w:val="22"/>
          <w:lang w:val="es-AR"/>
          <w14:ligatures w14:val="none"/>
        </w:rPr>
        <w:t>[</w:t>
      </w:r>
      <w:proofErr w:type="gramEnd"/>
      <w:r w:rsidRPr="00B52734">
        <w:rPr>
          <w:rFonts w:ascii="Aptos" w:eastAsia="Calibri" w:hAnsi="Aptos" w:cs="Calibri"/>
          <w:kern w:val="0"/>
          <w:sz w:val="22"/>
          <w:szCs w:val="22"/>
          <w:lang w:val="es-AR"/>
          <w14:ligatures w14:val="none"/>
        </w:rPr>
        <w:t xml:space="preserve">____________], CBU </w:t>
      </w:r>
      <w:proofErr w:type="spellStart"/>
      <w:r w:rsidRPr="00B52734">
        <w:rPr>
          <w:rFonts w:ascii="Aptos" w:eastAsia="Calibri" w:hAnsi="Aptos" w:cs="Calibri"/>
          <w:kern w:val="0"/>
          <w:sz w:val="22"/>
          <w:szCs w:val="22"/>
          <w:lang w:val="es-AR"/>
          <w14:ligatures w14:val="none"/>
        </w:rPr>
        <w:t>N</w:t>
      </w:r>
      <w:proofErr w:type="gramStart"/>
      <w:r w:rsidRPr="00B52734">
        <w:rPr>
          <w:rFonts w:ascii="Aptos" w:eastAsia="Calibri" w:hAnsi="Aptos" w:cs="Calibri"/>
          <w:kern w:val="0"/>
          <w:sz w:val="22"/>
          <w:szCs w:val="22"/>
          <w:lang w:val="es-AR"/>
          <w14:ligatures w14:val="none"/>
        </w:rPr>
        <w:t>°</w:t>
      </w:r>
      <w:proofErr w:type="spellEnd"/>
      <w:r w:rsidRPr="00B52734">
        <w:rPr>
          <w:rFonts w:ascii="Aptos" w:eastAsia="Calibri" w:hAnsi="Aptos" w:cs="Calibri"/>
          <w:kern w:val="0"/>
          <w:sz w:val="22"/>
          <w:szCs w:val="22"/>
          <w:lang w:val="es-AR"/>
          <w14:ligatures w14:val="none"/>
        </w:rPr>
        <w:t>[</w:t>
      </w:r>
      <w:proofErr w:type="gramEnd"/>
      <w:r w:rsidRPr="00B52734">
        <w:rPr>
          <w:rFonts w:ascii="Aptos" w:eastAsia="Calibri" w:hAnsi="Aptos" w:cs="Calibri"/>
          <w:kern w:val="0"/>
          <w:sz w:val="22"/>
          <w:szCs w:val="22"/>
          <w:lang w:val="es-AR"/>
          <w14:ligatures w14:val="none"/>
        </w:rPr>
        <w:t>__], abierta a su nombre en [____________].</w:t>
      </w:r>
    </w:p>
    <w:p w14:paraId="074793B4"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p>
    <w:p w14:paraId="5FFA0720"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El Oferente acepta que el Colocador tendrá la facultad, pero no la obligación, de solicitar garantías que aseguren la integración del presente, cuando así lo considere necesario la Emisora y/o el Colocador.</w:t>
      </w:r>
    </w:p>
    <w:p w14:paraId="15F0534F"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p w14:paraId="3FB8BAC4"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Asimismo, el Oferente acepta que la presente es vinculante a todos los efectos que pudiera corresponder, y renuncia expresamente a la facultad de ratificar la presente, acordándole carácter irrevocable (conforme lo dispuesto por el Artículo 7, Sección II, Capítulo IV, Título VI de las Normas de la CNV).</w:t>
      </w:r>
    </w:p>
    <w:p w14:paraId="2CE1CC78"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p>
    <w:p w14:paraId="6D6DD435" w14:textId="77777777" w:rsidR="00032352" w:rsidRPr="00B52734" w:rsidRDefault="00032352" w:rsidP="00032352">
      <w:pPr>
        <w:numPr>
          <w:ilvl w:val="0"/>
          <w:numId w:val="2"/>
        </w:num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u w:val="single"/>
          <w:lang w:val="es-AR" w:eastAsia="es-ES"/>
          <w14:ligatures w14:val="none"/>
        </w:rPr>
        <w:t>Adjudicación</w:t>
      </w:r>
      <w:r w:rsidRPr="00B52734">
        <w:rPr>
          <w:rFonts w:ascii="Aptos" w:eastAsia="Times New Roman" w:hAnsi="Aptos" w:cs="Calibri"/>
          <w:kern w:val="0"/>
          <w:sz w:val="22"/>
          <w:szCs w:val="22"/>
          <w:lang w:val="es-AR" w:eastAsia="es-ES"/>
          <w14:ligatures w14:val="none"/>
        </w:rPr>
        <w:t xml:space="preserve">: </w:t>
      </w:r>
    </w:p>
    <w:p w14:paraId="2972F36F"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p>
    <w:p w14:paraId="39F1BEAB"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Las adjudicaciones se efectuarán de acuerdo con el Sistema “SIOPEL” de A3 Mercados conforme al mecanismo de adjudicación descripto en la sección “</w:t>
      </w:r>
      <w:r w:rsidRPr="00B52734">
        <w:rPr>
          <w:rFonts w:ascii="Aptos" w:eastAsia="Times New Roman" w:hAnsi="Aptos" w:cs="Calibri"/>
          <w:i/>
          <w:kern w:val="0"/>
          <w:sz w:val="22"/>
          <w:szCs w:val="22"/>
          <w:lang w:val="es-AR" w:eastAsia="es-ES"/>
          <w14:ligatures w14:val="none"/>
        </w:rPr>
        <w:t>Plan de Distribución de las Obligaciones Negociables</w:t>
      </w:r>
      <w:r w:rsidRPr="00B52734">
        <w:rPr>
          <w:rFonts w:ascii="Aptos" w:eastAsia="Times New Roman" w:hAnsi="Aptos" w:cs="Calibri"/>
          <w:kern w:val="0"/>
          <w:sz w:val="22"/>
          <w:szCs w:val="22"/>
          <w:lang w:val="es-AR" w:eastAsia="es-ES"/>
          <w14:ligatures w14:val="none"/>
        </w:rPr>
        <w:t>” del Suplemento, el cual el Oferente declara conocer y aceptar.</w:t>
      </w:r>
    </w:p>
    <w:p w14:paraId="0A2C7BB1" w14:textId="77777777" w:rsidR="00032352" w:rsidRPr="00B52734" w:rsidRDefault="00032352" w:rsidP="00032352">
      <w:pPr>
        <w:spacing w:after="0" w:line="240" w:lineRule="auto"/>
        <w:ind w:right="-271"/>
        <w:jc w:val="both"/>
        <w:rPr>
          <w:rFonts w:ascii="Aptos" w:eastAsia="Times New Roman" w:hAnsi="Aptos" w:cs="Calibri"/>
          <w:smallCaps/>
          <w:kern w:val="0"/>
          <w:sz w:val="22"/>
          <w:szCs w:val="22"/>
          <w:lang w:val="es-AR" w:eastAsia="es-ES"/>
          <w14:ligatures w14:val="none"/>
        </w:rPr>
      </w:pPr>
    </w:p>
    <w:p w14:paraId="6791F969" w14:textId="77777777" w:rsidR="00032352" w:rsidRPr="00B52734" w:rsidRDefault="00032352" w:rsidP="00032352">
      <w:pPr>
        <w:spacing w:after="0" w:line="240" w:lineRule="auto"/>
        <w:ind w:right="-271"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El Oferente transferirá al Colocador los fondos necesarios para integrar las Obligaciones Negociables que le hubieren sido adjudicadas, no más tarde de las 14 </w:t>
      </w:r>
      <w:proofErr w:type="spellStart"/>
      <w:r w:rsidRPr="00B52734">
        <w:rPr>
          <w:rFonts w:ascii="Aptos" w:eastAsia="Times New Roman" w:hAnsi="Aptos" w:cs="Calibri"/>
          <w:kern w:val="0"/>
          <w:sz w:val="22"/>
          <w:szCs w:val="22"/>
          <w:lang w:val="es-AR" w:eastAsia="es-ES"/>
          <w14:ligatures w14:val="none"/>
        </w:rPr>
        <w:t>hs</w:t>
      </w:r>
      <w:proofErr w:type="spellEnd"/>
      <w:r w:rsidRPr="00B52734">
        <w:rPr>
          <w:rFonts w:ascii="Aptos" w:eastAsia="Times New Roman" w:hAnsi="Aptos" w:cs="Calibri"/>
          <w:kern w:val="0"/>
          <w:sz w:val="22"/>
          <w:szCs w:val="22"/>
          <w:lang w:val="es-AR" w:eastAsia="es-ES"/>
          <w14:ligatures w14:val="none"/>
        </w:rPr>
        <w:t xml:space="preserve"> de la Fecha de Emisión y Liquidación. En caso de que el Oferente no abonare el monto que le sea finalmente adjudicado en la Fecha de Emisión y Liquidación, el derecho del Oferente a recibir las Obligaciones Negociables que le hayan sido adjudicadas caducará automáticamente. La Emisora y el Colocador no asumen ningún tipo de responsabilidad por la falta de pago del monto adjudicado de las Obligaciones Negociables por parte de los Oferentes. </w:t>
      </w:r>
    </w:p>
    <w:p w14:paraId="661A0F41" w14:textId="77777777" w:rsidR="00032352" w:rsidRPr="00B52734" w:rsidRDefault="00032352" w:rsidP="00032352">
      <w:pPr>
        <w:spacing w:after="0" w:line="240" w:lineRule="auto"/>
        <w:ind w:right="-271" w:firstLine="708"/>
        <w:jc w:val="both"/>
        <w:rPr>
          <w:rFonts w:ascii="Aptos" w:eastAsia="Times New Roman" w:hAnsi="Aptos" w:cs="Calibri"/>
          <w:kern w:val="0"/>
          <w:sz w:val="22"/>
          <w:szCs w:val="22"/>
          <w:lang w:val="es-AR" w:eastAsia="es-ES"/>
          <w14:ligatures w14:val="none"/>
        </w:rPr>
      </w:pPr>
    </w:p>
    <w:p w14:paraId="10C80FDA" w14:textId="77777777" w:rsidR="00032352" w:rsidRPr="00B52734" w:rsidRDefault="00032352" w:rsidP="00032352">
      <w:pPr>
        <w:numPr>
          <w:ilvl w:val="0"/>
          <w:numId w:val="2"/>
        </w:num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u w:val="single"/>
          <w:lang w:val="es-AR" w:eastAsia="es-ES"/>
          <w14:ligatures w14:val="none"/>
        </w:rPr>
        <w:t>Acreditación</w:t>
      </w:r>
      <w:r w:rsidRPr="00B52734">
        <w:rPr>
          <w:rFonts w:ascii="Aptos" w:eastAsia="Times New Roman" w:hAnsi="Aptos" w:cs="Calibri"/>
          <w:kern w:val="0"/>
          <w:sz w:val="22"/>
          <w:szCs w:val="22"/>
          <w:lang w:val="es-AR" w:eastAsia="es-ES"/>
          <w14:ligatures w14:val="none"/>
        </w:rPr>
        <w:t xml:space="preserve">: </w:t>
      </w:r>
    </w:p>
    <w:p w14:paraId="6614CC80"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p>
    <w:p w14:paraId="46F62E14"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Una vez efectuada la emisión de las Obligaciones Negociables, se procederá a acreditar dichos títulos emitidos a favor del Oferente e integrados por este conforme lo dispuesto en el punto “</w:t>
      </w:r>
      <w:r w:rsidRPr="00B52734">
        <w:rPr>
          <w:rFonts w:ascii="Aptos" w:eastAsia="Times New Roman" w:hAnsi="Aptos" w:cs="Calibri"/>
          <w:i/>
          <w:kern w:val="0"/>
          <w:sz w:val="22"/>
          <w:szCs w:val="22"/>
          <w:lang w:val="es-AR" w:eastAsia="es-ES"/>
          <w14:ligatures w14:val="none"/>
        </w:rPr>
        <w:t>Liquidación</w:t>
      </w:r>
      <w:r w:rsidRPr="00B52734">
        <w:rPr>
          <w:rFonts w:ascii="Aptos" w:eastAsia="Times New Roman" w:hAnsi="Aptos" w:cs="Calibri"/>
          <w:kern w:val="0"/>
          <w:sz w:val="22"/>
          <w:szCs w:val="22"/>
          <w:lang w:val="es-AR" w:eastAsia="es-ES"/>
          <w14:ligatures w14:val="none"/>
        </w:rPr>
        <w:t xml:space="preserve">” precedente, en la cuenta en </w:t>
      </w:r>
      <w:proofErr w:type="gramStart"/>
      <w:r w:rsidRPr="00B52734">
        <w:rPr>
          <w:rFonts w:ascii="Aptos" w:eastAsia="Times New Roman" w:hAnsi="Aptos" w:cs="Calibri"/>
          <w:kern w:val="0"/>
          <w:sz w:val="22"/>
          <w:szCs w:val="22"/>
          <w:lang w:val="es-AR" w:eastAsia="es-ES"/>
          <w14:ligatures w14:val="none"/>
        </w:rPr>
        <w:t>Caja</w:t>
      </w:r>
      <w:proofErr w:type="gramEnd"/>
      <w:r w:rsidRPr="00B52734">
        <w:rPr>
          <w:rFonts w:ascii="Aptos" w:eastAsia="Times New Roman" w:hAnsi="Aptos" w:cs="Calibri"/>
          <w:kern w:val="0"/>
          <w:sz w:val="22"/>
          <w:szCs w:val="22"/>
          <w:lang w:val="es-AR" w:eastAsia="es-ES"/>
          <w14:ligatures w14:val="none"/>
        </w:rPr>
        <w:t xml:space="preserve"> de Valores S.A. (“</w:t>
      </w:r>
      <w:r w:rsidRPr="00B52734">
        <w:rPr>
          <w:rFonts w:ascii="Aptos" w:eastAsia="Times New Roman" w:hAnsi="Aptos" w:cs="Calibri"/>
          <w:kern w:val="0"/>
          <w:sz w:val="22"/>
          <w:szCs w:val="22"/>
          <w:u w:val="single"/>
          <w:lang w:val="es-AR" w:eastAsia="es-ES"/>
          <w14:ligatures w14:val="none"/>
        </w:rPr>
        <w:t>Caja de Valores</w:t>
      </w:r>
      <w:r w:rsidRPr="00B52734">
        <w:rPr>
          <w:rFonts w:ascii="Aptos" w:eastAsia="Times New Roman" w:hAnsi="Aptos" w:cs="Calibri"/>
          <w:kern w:val="0"/>
          <w:sz w:val="22"/>
          <w:szCs w:val="22"/>
          <w:lang w:val="es-AR" w:eastAsia="es-ES"/>
          <w14:ligatures w14:val="none"/>
        </w:rPr>
        <w:t xml:space="preserve">”) que se indica a continuación: </w:t>
      </w:r>
    </w:p>
    <w:p w14:paraId="6D529E76" w14:textId="77777777" w:rsidR="00032352" w:rsidRPr="00B52734" w:rsidRDefault="00032352" w:rsidP="00032352">
      <w:pPr>
        <w:spacing w:after="0" w:line="240" w:lineRule="auto"/>
        <w:ind w:right="-271"/>
        <w:jc w:val="both"/>
        <w:rPr>
          <w:rFonts w:ascii="Calibri" w:eastAsia="Times New Roman" w:hAnsi="Calibri" w:cs="Calibri"/>
          <w:kern w:val="0"/>
          <w:sz w:val="22"/>
          <w:szCs w:val="22"/>
          <w:lang w:val="es-AR" w:eastAsia="es-ES"/>
          <w14:ligatures w14:val="none"/>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179"/>
      </w:tblGrid>
      <w:tr w:rsidR="00032352" w:rsidRPr="00B52734" w14:paraId="39D5A3BC" w14:textId="77777777" w:rsidTr="002E2C97">
        <w:tc>
          <w:tcPr>
            <w:tcW w:w="8642" w:type="dxa"/>
            <w:gridSpan w:val="2"/>
            <w:shd w:val="clear" w:color="auto" w:fill="E0E0E0"/>
          </w:tcPr>
          <w:p w14:paraId="159615F9" w14:textId="77777777" w:rsidR="00032352" w:rsidRPr="00B52734" w:rsidRDefault="00032352" w:rsidP="00032352">
            <w:pPr>
              <w:spacing w:after="0" w:line="240" w:lineRule="auto"/>
              <w:ind w:left="-142" w:right="-271"/>
              <w:jc w:val="center"/>
              <w:rPr>
                <w:rFonts w:ascii="Aptos" w:eastAsia="Times New Roman" w:hAnsi="Aptos" w:cs="Calibri"/>
                <w:b/>
                <w:smallCaps/>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br w:type="page"/>
            </w:r>
            <w:r w:rsidRPr="00B52734">
              <w:rPr>
                <w:rFonts w:ascii="Aptos" w:eastAsia="Times New Roman" w:hAnsi="Aptos" w:cs="Calibri"/>
                <w:b/>
                <w:smallCaps/>
                <w:kern w:val="0"/>
                <w:sz w:val="22"/>
                <w:szCs w:val="22"/>
                <w:lang w:val="es-AR" w:eastAsia="es-ES"/>
                <w14:ligatures w14:val="none"/>
              </w:rPr>
              <w:t>datos del oferente</w:t>
            </w:r>
          </w:p>
        </w:tc>
      </w:tr>
      <w:tr w:rsidR="00032352" w:rsidRPr="00B52734" w14:paraId="506C2906" w14:textId="77777777" w:rsidTr="002E2C97">
        <w:tc>
          <w:tcPr>
            <w:tcW w:w="3463" w:type="dxa"/>
          </w:tcPr>
          <w:p w14:paraId="53F73890"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r w:rsidRPr="00B52734">
              <w:rPr>
                <w:rFonts w:ascii="Aptos" w:eastAsia="Times New Roman" w:hAnsi="Aptos" w:cs="Calibri"/>
                <w:smallCaps/>
                <w:kern w:val="0"/>
                <w:sz w:val="22"/>
                <w:szCs w:val="22"/>
                <w:lang w:val="es-AR" w:eastAsia="es-ES"/>
                <w14:ligatures w14:val="none"/>
              </w:rPr>
              <w:lastRenderedPageBreak/>
              <w:t>Apellido y nombre o razón social:</w:t>
            </w:r>
          </w:p>
        </w:tc>
        <w:tc>
          <w:tcPr>
            <w:tcW w:w="5179" w:type="dxa"/>
          </w:tcPr>
          <w:p w14:paraId="4E41E146"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5A91511D" w14:textId="77777777" w:rsidTr="002E2C97">
        <w:tc>
          <w:tcPr>
            <w:tcW w:w="3463" w:type="dxa"/>
          </w:tcPr>
          <w:p w14:paraId="606EA8EA"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r w:rsidRPr="00B52734">
              <w:rPr>
                <w:rFonts w:ascii="Aptos" w:eastAsia="Times New Roman" w:hAnsi="Aptos" w:cs="Calibri"/>
                <w:smallCaps/>
                <w:kern w:val="0"/>
                <w:sz w:val="22"/>
                <w:szCs w:val="22"/>
                <w:lang w:val="es-AR" w:eastAsia="es-ES"/>
                <w14:ligatures w14:val="none"/>
              </w:rPr>
              <w:t xml:space="preserve">Le – </w:t>
            </w:r>
            <w:proofErr w:type="spellStart"/>
            <w:r w:rsidRPr="00B52734">
              <w:rPr>
                <w:rFonts w:ascii="Aptos" w:eastAsia="Times New Roman" w:hAnsi="Aptos" w:cs="Calibri"/>
                <w:smallCaps/>
                <w:kern w:val="0"/>
                <w:sz w:val="22"/>
                <w:szCs w:val="22"/>
                <w:lang w:val="es-AR" w:eastAsia="es-ES"/>
                <w14:ligatures w14:val="none"/>
              </w:rPr>
              <w:t>dni</w:t>
            </w:r>
            <w:proofErr w:type="spellEnd"/>
            <w:r w:rsidRPr="00B52734">
              <w:rPr>
                <w:rFonts w:ascii="Aptos" w:eastAsia="Times New Roman" w:hAnsi="Aptos" w:cs="Calibri"/>
                <w:smallCaps/>
                <w:kern w:val="0"/>
                <w:sz w:val="22"/>
                <w:szCs w:val="22"/>
                <w:lang w:val="es-AR" w:eastAsia="es-ES"/>
                <w14:ligatures w14:val="none"/>
              </w:rPr>
              <w:t xml:space="preserve"> – </w:t>
            </w:r>
            <w:proofErr w:type="spellStart"/>
            <w:r w:rsidRPr="00B52734">
              <w:rPr>
                <w:rFonts w:ascii="Aptos" w:eastAsia="Times New Roman" w:hAnsi="Aptos" w:cs="Calibri"/>
                <w:smallCaps/>
                <w:kern w:val="0"/>
                <w:sz w:val="22"/>
                <w:szCs w:val="22"/>
                <w:lang w:val="es-AR" w:eastAsia="es-ES"/>
                <w14:ligatures w14:val="none"/>
              </w:rPr>
              <w:t>ci</w:t>
            </w:r>
            <w:proofErr w:type="spellEnd"/>
          </w:p>
        </w:tc>
        <w:tc>
          <w:tcPr>
            <w:tcW w:w="5179" w:type="dxa"/>
          </w:tcPr>
          <w:p w14:paraId="1052FBC4"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0825FDC6" w14:textId="77777777" w:rsidTr="002E2C97">
        <w:tc>
          <w:tcPr>
            <w:tcW w:w="3463" w:type="dxa"/>
          </w:tcPr>
          <w:p w14:paraId="13E1A73F"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proofErr w:type="spellStart"/>
            <w:r w:rsidRPr="00B52734">
              <w:rPr>
                <w:rFonts w:ascii="Aptos" w:eastAsia="Times New Roman" w:hAnsi="Aptos" w:cs="Calibri"/>
                <w:smallCaps/>
                <w:kern w:val="0"/>
                <w:sz w:val="22"/>
                <w:szCs w:val="22"/>
                <w:lang w:val="es-AR" w:eastAsia="es-ES"/>
                <w14:ligatures w14:val="none"/>
              </w:rPr>
              <w:t>Cuit</w:t>
            </w:r>
            <w:proofErr w:type="spellEnd"/>
            <w:r w:rsidRPr="00B52734">
              <w:rPr>
                <w:rFonts w:ascii="Aptos" w:eastAsia="Times New Roman" w:hAnsi="Aptos" w:cs="Calibri"/>
                <w:smallCaps/>
                <w:kern w:val="0"/>
                <w:sz w:val="22"/>
                <w:szCs w:val="22"/>
                <w:lang w:val="es-AR" w:eastAsia="es-ES"/>
                <w14:ligatures w14:val="none"/>
              </w:rPr>
              <w:t xml:space="preserve"> / </w:t>
            </w:r>
            <w:proofErr w:type="spellStart"/>
            <w:r w:rsidRPr="00B52734">
              <w:rPr>
                <w:rFonts w:ascii="Aptos" w:eastAsia="Times New Roman" w:hAnsi="Aptos" w:cs="Calibri"/>
                <w:smallCaps/>
                <w:kern w:val="0"/>
                <w:sz w:val="22"/>
                <w:szCs w:val="22"/>
                <w:lang w:val="es-AR" w:eastAsia="es-ES"/>
                <w14:ligatures w14:val="none"/>
              </w:rPr>
              <w:t>cuil</w:t>
            </w:r>
            <w:proofErr w:type="spellEnd"/>
            <w:r w:rsidRPr="00B52734">
              <w:rPr>
                <w:rFonts w:ascii="Aptos" w:eastAsia="Times New Roman" w:hAnsi="Aptos" w:cs="Calibri"/>
                <w:smallCaps/>
                <w:kern w:val="0"/>
                <w:sz w:val="22"/>
                <w:szCs w:val="22"/>
                <w:lang w:val="es-AR" w:eastAsia="es-ES"/>
                <w14:ligatures w14:val="none"/>
              </w:rPr>
              <w:t xml:space="preserve"> / </w:t>
            </w:r>
            <w:proofErr w:type="spellStart"/>
            <w:r w:rsidRPr="00B52734">
              <w:rPr>
                <w:rFonts w:ascii="Aptos" w:eastAsia="Times New Roman" w:hAnsi="Aptos" w:cs="Calibri"/>
                <w:smallCaps/>
                <w:kern w:val="0"/>
                <w:sz w:val="22"/>
                <w:szCs w:val="22"/>
                <w:lang w:val="es-AR" w:eastAsia="es-ES"/>
                <w14:ligatures w14:val="none"/>
              </w:rPr>
              <w:t>cdi</w:t>
            </w:r>
            <w:proofErr w:type="spellEnd"/>
          </w:p>
        </w:tc>
        <w:tc>
          <w:tcPr>
            <w:tcW w:w="5179" w:type="dxa"/>
          </w:tcPr>
          <w:p w14:paraId="52D9C9F8"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5B78720E" w14:textId="77777777" w:rsidTr="002E2C97">
        <w:tc>
          <w:tcPr>
            <w:tcW w:w="3463" w:type="dxa"/>
          </w:tcPr>
          <w:p w14:paraId="34853DC4"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r w:rsidRPr="00B52734">
              <w:rPr>
                <w:rFonts w:ascii="Aptos" w:eastAsia="Times New Roman" w:hAnsi="Aptos" w:cs="Calibri"/>
                <w:smallCaps/>
                <w:kern w:val="0"/>
                <w:sz w:val="22"/>
                <w:szCs w:val="22"/>
                <w:lang w:val="es-AR" w:eastAsia="es-ES"/>
                <w14:ligatures w14:val="none"/>
              </w:rPr>
              <w:t>Domicilio:</w:t>
            </w:r>
          </w:p>
        </w:tc>
        <w:tc>
          <w:tcPr>
            <w:tcW w:w="5179" w:type="dxa"/>
          </w:tcPr>
          <w:p w14:paraId="769F61D0"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4229AA76" w14:textId="77777777" w:rsidTr="002E2C97">
        <w:tc>
          <w:tcPr>
            <w:tcW w:w="3463" w:type="dxa"/>
          </w:tcPr>
          <w:p w14:paraId="36BC68EA"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r w:rsidRPr="00B52734">
              <w:rPr>
                <w:rFonts w:ascii="Aptos" w:eastAsia="Times New Roman" w:hAnsi="Aptos" w:cs="Calibri"/>
                <w:smallCaps/>
                <w:kern w:val="0"/>
                <w:sz w:val="22"/>
                <w:szCs w:val="22"/>
                <w:lang w:val="es-AR" w:eastAsia="es-ES"/>
                <w14:ligatures w14:val="none"/>
              </w:rPr>
              <w:t xml:space="preserve">Cuenta bancaria: </w:t>
            </w:r>
          </w:p>
        </w:tc>
        <w:tc>
          <w:tcPr>
            <w:tcW w:w="5179" w:type="dxa"/>
          </w:tcPr>
          <w:p w14:paraId="7511AD13"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62424356" w14:textId="77777777" w:rsidTr="002E2C97">
        <w:tc>
          <w:tcPr>
            <w:tcW w:w="3463" w:type="dxa"/>
          </w:tcPr>
          <w:p w14:paraId="537D54BF"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proofErr w:type="spellStart"/>
            <w:r w:rsidRPr="00B52734">
              <w:rPr>
                <w:rFonts w:ascii="Aptos" w:eastAsia="Times New Roman" w:hAnsi="Aptos" w:cs="Calibri"/>
                <w:smallCaps/>
                <w:kern w:val="0"/>
                <w:sz w:val="22"/>
                <w:szCs w:val="22"/>
                <w:lang w:val="es-AR" w:eastAsia="es-ES"/>
                <w14:ligatures w14:val="none"/>
              </w:rPr>
              <w:t>Cbu</w:t>
            </w:r>
            <w:proofErr w:type="spellEnd"/>
            <w:r w:rsidRPr="00B52734">
              <w:rPr>
                <w:rFonts w:ascii="Aptos" w:eastAsia="Times New Roman" w:hAnsi="Aptos" w:cs="Calibri"/>
                <w:smallCaps/>
                <w:kern w:val="0"/>
                <w:sz w:val="22"/>
                <w:szCs w:val="22"/>
                <w:lang w:val="es-AR" w:eastAsia="es-ES"/>
                <w14:ligatures w14:val="none"/>
              </w:rPr>
              <w:t>:</w:t>
            </w:r>
          </w:p>
        </w:tc>
        <w:tc>
          <w:tcPr>
            <w:tcW w:w="5179" w:type="dxa"/>
          </w:tcPr>
          <w:p w14:paraId="0A29021A"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4CC41009" w14:textId="77777777" w:rsidTr="002E2C97">
        <w:tc>
          <w:tcPr>
            <w:tcW w:w="3463" w:type="dxa"/>
          </w:tcPr>
          <w:p w14:paraId="231E144F"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r w:rsidRPr="00B52734">
              <w:rPr>
                <w:rFonts w:ascii="Aptos" w:eastAsia="Times New Roman" w:hAnsi="Aptos" w:cs="Calibri"/>
                <w:smallCaps/>
                <w:kern w:val="0"/>
                <w:sz w:val="22"/>
                <w:szCs w:val="22"/>
                <w:lang w:val="es-AR" w:eastAsia="es-ES"/>
                <w14:ligatures w14:val="none"/>
              </w:rPr>
              <w:t xml:space="preserve">Cuenta títulos: </w:t>
            </w:r>
          </w:p>
        </w:tc>
        <w:tc>
          <w:tcPr>
            <w:tcW w:w="5179" w:type="dxa"/>
          </w:tcPr>
          <w:p w14:paraId="53FDDAE9"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4B6CC12A" w14:textId="77777777" w:rsidTr="002E2C97">
        <w:tc>
          <w:tcPr>
            <w:tcW w:w="3463" w:type="dxa"/>
          </w:tcPr>
          <w:p w14:paraId="18A7F89F"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r w:rsidRPr="00B52734">
              <w:rPr>
                <w:rFonts w:ascii="Aptos" w:eastAsia="Times New Roman" w:hAnsi="Aptos" w:cs="Calibri"/>
                <w:smallCaps/>
                <w:kern w:val="0"/>
                <w:sz w:val="22"/>
                <w:szCs w:val="22"/>
                <w:lang w:val="es-AR" w:eastAsia="es-ES"/>
                <w14:ligatures w14:val="none"/>
              </w:rPr>
              <w:t>Nombre beneficiario cuenta títulos:</w:t>
            </w:r>
          </w:p>
        </w:tc>
        <w:tc>
          <w:tcPr>
            <w:tcW w:w="5179" w:type="dxa"/>
          </w:tcPr>
          <w:p w14:paraId="7EF9ACF2"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229138EB" w14:textId="77777777" w:rsidTr="002E2C97">
        <w:tc>
          <w:tcPr>
            <w:tcW w:w="3463" w:type="dxa"/>
          </w:tcPr>
          <w:p w14:paraId="263B4ED6"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r w:rsidRPr="00B52734">
              <w:rPr>
                <w:rFonts w:ascii="Aptos" w:eastAsia="Times New Roman" w:hAnsi="Aptos" w:cs="Calibri"/>
                <w:smallCaps/>
                <w:kern w:val="0"/>
                <w:sz w:val="22"/>
                <w:szCs w:val="22"/>
                <w:lang w:val="es-AR" w:eastAsia="es-ES"/>
                <w14:ligatures w14:val="none"/>
              </w:rPr>
              <w:t>Banco custodio:</w:t>
            </w:r>
          </w:p>
        </w:tc>
        <w:tc>
          <w:tcPr>
            <w:tcW w:w="5179" w:type="dxa"/>
          </w:tcPr>
          <w:p w14:paraId="4C4C34C5"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20A8F03F" w14:textId="77777777" w:rsidTr="002E2C97">
        <w:tc>
          <w:tcPr>
            <w:tcW w:w="3463" w:type="dxa"/>
          </w:tcPr>
          <w:p w14:paraId="3841508F" w14:textId="77777777" w:rsidR="00032352" w:rsidRPr="00B52734" w:rsidRDefault="00032352" w:rsidP="00032352">
            <w:pPr>
              <w:spacing w:after="0" w:line="240" w:lineRule="auto"/>
              <w:ind w:left="5" w:right="-271"/>
              <w:rPr>
                <w:rFonts w:ascii="Aptos" w:eastAsia="Times New Roman" w:hAnsi="Aptos" w:cs="Calibri"/>
                <w:smallCaps/>
                <w:kern w:val="0"/>
                <w:sz w:val="22"/>
                <w:szCs w:val="22"/>
                <w:lang w:val="es-AR" w:eastAsia="es-ES"/>
                <w14:ligatures w14:val="none"/>
              </w:rPr>
            </w:pPr>
            <w:r w:rsidRPr="00B52734">
              <w:rPr>
                <w:rFonts w:ascii="Aptos" w:eastAsia="Times New Roman" w:hAnsi="Aptos" w:cs="Calibri"/>
                <w:smallCaps/>
                <w:kern w:val="0"/>
                <w:sz w:val="22"/>
                <w:szCs w:val="22"/>
                <w:lang w:val="es-AR" w:eastAsia="es-ES"/>
                <w14:ligatures w14:val="none"/>
              </w:rPr>
              <w:t>Contacto y tel. Bco. custodio:</w:t>
            </w:r>
          </w:p>
        </w:tc>
        <w:tc>
          <w:tcPr>
            <w:tcW w:w="5179" w:type="dxa"/>
          </w:tcPr>
          <w:p w14:paraId="3CBC58D6"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r w:rsidR="00032352" w:rsidRPr="00B52734" w14:paraId="287607C8" w14:textId="77777777" w:rsidTr="002E2C97">
        <w:trPr>
          <w:trHeight w:val="170"/>
        </w:trPr>
        <w:tc>
          <w:tcPr>
            <w:tcW w:w="3463" w:type="dxa"/>
          </w:tcPr>
          <w:p w14:paraId="0C1566F3" w14:textId="77777777" w:rsidR="00032352" w:rsidRPr="00B52734" w:rsidRDefault="00032352" w:rsidP="00032352">
            <w:pPr>
              <w:keepNext/>
              <w:spacing w:after="0" w:line="240" w:lineRule="auto"/>
              <w:ind w:left="5"/>
              <w:jc w:val="center"/>
              <w:outlineLvl w:val="1"/>
              <w:rPr>
                <w:rFonts w:ascii="Aptos" w:eastAsia="Times New Roman" w:hAnsi="Aptos" w:cs="Calibri"/>
                <w:b/>
                <w:i/>
                <w:kern w:val="0"/>
                <w:sz w:val="22"/>
                <w:szCs w:val="22"/>
                <w:u w:val="single"/>
                <w:lang w:val="es-AR" w:eastAsia="es-ES"/>
                <w14:ligatures w14:val="none"/>
              </w:rPr>
            </w:pPr>
            <w:r w:rsidRPr="00B52734">
              <w:rPr>
                <w:rFonts w:ascii="Aptos" w:eastAsia="Times New Roman" w:hAnsi="Aptos" w:cs="Calibri"/>
                <w:b/>
                <w:i/>
                <w:smallCaps/>
                <w:kern w:val="0"/>
                <w:sz w:val="22"/>
                <w:szCs w:val="22"/>
                <w:u w:val="single"/>
                <w:lang w:val="es-AR" w:eastAsia="es-ES"/>
                <w14:ligatures w14:val="none"/>
              </w:rPr>
              <w:t>Tipo de Oferente</w:t>
            </w:r>
            <w:r w:rsidRPr="00B52734">
              <w:rPr>
                <w:rFonts w:ascii="Aptos" w:eastAsia="Times New Roman" w:hAnsi="Aptos" w:cs="Calibri"/>
                <w:b/>
                <w:i/>
                <w:kern w:val="0"/>
                <w:sz w:val="22"/>
                <w:szCs w:val="22"/>
                <w:u w:val="single"/>
                <w:lang w:val="es-AR" w:eastAsia="es-ES"/>
                <w14:ligatures w14:val="none"/>
              </w:rPr>
              <w:t xml:space="preserve">: </w:t>
            </w:r>
          </w:p>
        </w:tc>
        <w:tc>
          <w:tcPr>
            <w:tcW w:w="5179" w:type="dxa"/>
          </w:tcPr>
          <w:p w14:paraId="2C1B2563" w14:textId="77777777" w:rsidR="00032352" w:rsidRPr="00B52734" w:rsidRDefault="00032352" w:rsidP="00032352">
            <w:pPr>
              <w:spacing w:after="0" w:line="240" w:lineRule="auto"/>
              <w:ind w:left="-142" w:right="-271"/>
              <w:jc w:val="both"/>
              <w:rPr>
                <w:rFonts w:ascii="Aptos" w:eastAsia="Times New Roman" w:hAnsi="Aptos" w:cs="Calibri"/>
                <w:kern w:val="0"/>
                <w:sz w:val="22"/>
                <w:szCs w:val="22"/>
                <w:lang w:val="es-AR" w:eastAsia="es-ES"/>
                <w14:ligatures w14:val="none"/>
              </w:rPr>
            </w:pPr>
          </w:p>
        </w:tc>
      </w:tr>
    </w:tbl>
    <w:p w14:paraId="53153BB4" w14:textId="77777777" w:rsidR="00032352" w:rsidRPr="00B52734" w:rsidRDefault="00032352" w:rsidP="00032352">
      <w:pPr>
        <w:spacing w:after="0" w:line="259" w:lineRule="auto"/>
        <w:rPr>
          <w:rFonts w:ascii="Aptos" w:eastAsia="Times New Roman" w:hAnsi="Aptos" w:cs="Calibri"/>
          <w:kern w:val="0"/>
          <w:sz w:val="22"/>
          <w:szCs w:val="22"/>
          <w:lang w:val="es-AR" w:eastAsia="es-ES"/>
          <w14:ligatures w14:val="none"/>
        </w:rPr>
      </w:pPr>
    </w:p>
    <w:p w14:paraId="70A03D22" w14:textId="77777777" w:rsidR="00032352" w:rsidRPr="00B52734" w:rsidRDefault="00032352" w:rsidP="00032352">
      <w:pPr>
        <w:numPr>
          <w:ilvl w:val="0"/>
          <w:numId w:val="2"/>
        </w:numPr>
        <w:spacing w:after="0" w:line="240" w:lineRule="auto"/>
        <w:ind w:right="-271"/>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u w:val="single"/>
          <w:lang w:val="es-AR" w:eastAsia="es-ES"/>
          <w14:ligatures w14:val="none"/>
        </w:rPr>
        <w:t>Manifestaciones del Oferente:</w:t>
      </w:r>
    </w:p>
    <w:p w14:paraId="4E562BE6" w14:textId="77777777" w:rsidR="00032352" w:rsidRPr="00B52734" w:rsidRDefault="00032352" w:rsidP="00032352">
      <w:pPr>
        <w:spacing w:after="0" w:line="240" w:lineRule="auto"/>
        <w:ind w:right="-271"/>
        <w:jc w:val="both"/>
        <w:rPr>
          <w:rFonts w:ascii="Aptos" w:eastAsia="Times New Roman" w:hAnsi="Aptos" w:cs="Calibri"/>
          <w:kern w:val="0"/>
          <w:sz w:val="22"/>
          <w:szCs w:val="22"/>
          <w:u w:val="single"/>
          <w:lang w:val="es-AR" w:eastAsia="es-ES"/>
          <w14:ligatures w14:val="none"/>
        </w:rPr>
      </w:pPr>
    </w:p>
    <w:p w14:paraId="5ADEFBC8" w14:textId="77777777" w:rsidR="00032352" w:rsidRPr="00B52734" w:rsidRDefault="00032352" w:rsidP="00032352">
      <w:pPr>
        <w:spacing w:after="0" w:line="240" w:lineRule="auto"/>
        <w:ind w:right="-271"/>
        <w:jc w:val="both"/>
        <w:rPr>
          <w:rFonts w:ascii="Aptos" w:eastAsia="Times New Roman" w:hAnsi="Aptos" w:cs="Times New Roman"/>
          <w:kern w:val="0"/>
          <w:sz w:val="22"/>
          <w:szCs w:val="22"/>
          <w:u w:val="single"/>
          <w:lang w:val="es-AR" w:eastAsia="es-ES"/>
          <w14:ligatures w14:val="none"/>
        </w:rPr>
      </w:pPr>
      <w:r w:rsidRPr="00B52734">
        <w:rPr>
          <w:rFonts w:ascii="Aptos" w:eastAsia="Times New Roman" w:hAnsi="Aptos" w:cs="Times New Roman"/>
          <w:kern w:val="0"/>
          <w:sz w:val="22"/>
          <w:szCs w:val="22"/>
          <w:lang w:val="es-AR" w:eastAsia="es-ES"/>
          <w14:ligatures w14:val="none"/>
        </w:rPr>
        <w:t xml:space="preserve">(i) </w:t>
      </w:r>
      <w:r w:rsidRPr="00B52734">
        <w:rPr>
          <w:rFonts w:ascii="Aptos" w:eastAsia="Times New Roman" w:hAnsi="Aptos" w:cs="Times New Roman"/>
          <w:kern w:val="0"/>
          <w:sz w:val="22"/>
          <w:szCs w:val="22"/>
          <w:lang w:val="es-AR" w:eastAsia="es-ES"/>
          <w14:ligatures w14:val="none"/>
        </w:rPr>
        <w:tab/>
        <w:t>El Oferente acepta que la Emisora, con la colaboración del Colocador, en base a la información ingresada al Sistema “SIOPEL”, determinará el monto total de las Obligaciones Negociables a ser emitido, el Margen de Corte de las Obligaciones Clase XXII y las tasas de interés aplicables para las Obligaciones Negociables Clase XXIII, para todas las Órdenes de Compra aceptadas, conforme con lo establecido en la Sección “</w:t>
      </w:r>
      <w:r w:rsidRPr="00B52734">
        <w:rPr>
          <w:rFonts w:ascii="Aptos" w:eastAsia="Times New Roman" w:hAnsi="Aptos" w:cs="Times New Roman"/>
          <w:i/>
          <w:kern w:val="0"/>
          <w:sz w:val="22"/>
          <w:szCs w:val="22"/>
          <w:lang w:val="es-AR" w:eastAsia="es-ES"/>
          <w14:ligatures w14:val="none"/>
        </w:rPr>
        <w:t>Plan de Distribución de las Obligaciones Negociables</w:t>
      </w:r>
      <w:r w:rsidRPr="00B52734">
        <w:rPr>
          <w:rFonts w:ascii="Aptos" w:eastAsia="Times New Roman" w:hAnsi="Aptos" w:cs="Times New Roman"/>
          <w:kern w:val="0"/>
          <w:sz w:val="22"/>
          <w:szCs w:val="22"/>
          <w:lang w:val="es-AR" w:eastAsia="es-ES"/>
          <w14:ligatures w14:val="none"/>
        </w:rPr>
        <w:t>” del Suplemento, el cual el Oferente declara conocer y aceptar. El resultado final de la adjudicación será el que surja del Sistema “SIOPEL”.</w:t>
      </w:r>
    </w:p>
    <w:p w14:paraId="376E10B5" w14:textId="77777777" w:rsidR="00032352" w:rsidRPr="00B52734" w:rsidRDefault="00032352" w:rsidP="00032352">
      <w:pPr>
        <w:spacing w:after="0" w:line="240" w:lineRule="auto"/>
        <w:ind w:right="-271"/>
        <w:jc w:val="both"/>
        <w:rPr>
          <w:rFonts w:ascii="Aptos" w:eastAsia="Times New Roman" w:hAnsi="Aptos" w:cs="Times New Roman"/>
          <w:kern w:val="0"/>
          <w:sz w:val="22"/>
          <w:szCs w:val="22"/>
          <w:lang w:val="es-AR" w:eastAsia="es-ES"/>
          <w14:ligatures w14:val="none"/>
        </w:rPr>
      </w:pPr>
    </w:p>
    <w:p w14:paraId="1483BC8F" w14:textId="625B364E"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Times New Roman"/>
          <w:kern w:val="0"/>
          <w:sz w:val="22"/>
          <w:szCs w:val="22"/>
          <w:lang w:val="es-AR" w:eastAsia="es-ES"/>
          <w14:ligatures w14:val="none"/>
        </w:rPr>
        <w:t>(</w:t>
      </w:r>
      <w:proofErr w:type="spellStart"/>
      <w:r w:rsidRPr="00B52734">
        <w:rPr>
          <w:rFonts w:ascii="Aptos" w:eastAsia="Times New Roman" w:hAnsi="Aptos" w:cs="Times New Roman"/>
          <w:kern w:val="0"/>
          <w:sz w:val="22"/>
          <w:szCs w:val="22"/>
          <w:lang w:val="es-AR" w:eastAsia="es-ES"/>
          <w14:ligatures w14:val="none"/>
        </w:rPr>
        <w:t>ii</w:t>
      </w:r>
      <w:proofErr w:type="spellEnd"/>
      <w:r w:rsidRPr="00B52734">
        <w:rPr>
          <w:rFonts w:ascii="Aptos" w:eastAsia="Times New Roman" w:hAnsi="Aptos" w:cs="Times New Roman"/>
          <w:kern w:val="0"/>
          <w:sz w:val="22"/>
          <w:szCs w:val="22"/>
          <w:lang w:val="es-AR" w:eastAsia="es-ES"/>
          <w14:ligatures w14:val="none"/>
        </w:rPr>
        <w:t>)</w:t>
      </w:r>
      <w:r w:rsidRPr="00B52734">
        <w:rPr>
          <w:rFonts w:ascii="Aptos" w:eastAsia="Times New Roman" w:hAnsi="Aptos" w:cs="Times New Roman"/>
          <w:kern w:val="0"/>
          <w:sz w:val="22"/>
          <w:szCs w:val="22"/>
          <w:lang w:val="es-AR" w:eastAsia="es-ES"/>
          <w14:ligatures w14:val="none"/>
        </w:rPr>
        <w:tab/>
        <w:t>El Oferente declara en carácter de declaración jurada conocer, entender e irrevocablemente aceptar: (a) todos y cada uno de los términos y condiciones de las Obligaciones Negociables y el procedimiento detallado en “</w:t>
      </w:r>
      <w:r w:rsidRPr="00B52734">
        <w:rPr>
          <w:rFonts w:ascii="Aptos" w:eastAsia="Times New Roman" w:hAnsi="Aptos" w:cs="Times New Roman"/>
          <w:i/>
          <w:kern w:val="0"/>
          <w:sz w:val="22"/>
          <w:szCs w:val="22"/>
          <w:lang w:val="es-AR" w:eastAsia="es-ES"/>
          <w14:ligatures w14:val="none"/>
        </w:rPr>
        <w:t>Plan de Distribución de las Obligaciones Negociables</w:t>
      </w:r>
      <w:r w:rsidRPr="00B52734">
        <w:rPr>
          <w:rFonts w:ascii="Aptos" w:eastAsia="Times New Roman" w:hAnsi="Aptos" w:cs="Times New Roman"/>
          <w:kern w:val="0"/>
          <w:sz w:val="22"/>
          <w:szCs w:val="22"/>
          <w:lang w:val="es-AR" w:eastAsia="es-ES"/>
          <w14:ligatures w14:val="none"/>
        </w:rPr>
        <w:t xml:space="preserve">” del Suplemento, y asimismo la totalidad de las declaraciones, avisos y demás información contenida en los Documentos de la Oferta; (b) que le fueron puestos a disposición los Documentos de la Oferta; (c) que la presente deberá ser presentada al Colocador a más tardar en la fecha en que finalice el Período de Subasta en el horario de 10:00 horas a 16:00 horas, en formato físico (en la oficinas del Agente Colocador ubicadas en [DOMICILIO]), por correo electrónico, en forma telefónica y/o por fax; (d) que ha sido informado por el Colocador de la metodología aplicable a la presente Orden de Compra para la adquisición de las Obligaciones Negociables; (e) que conoce y entiende íntegra y acabadamente el contenido de los Documentos de la Oferta, las normas y resoluciones complementarias que regulan la presente Orden de Compra, así como sus condiciones y limitaciones; (f) que entiende las características de los términos y condiciones de las Obligaciones Negociables, adhiriendo y declarando conocer, a través de la suscripción de la presente y a los efectos del cumplimiento de lo dispuesto por las </w:t>
      </w:r>
      <w:r w:rsidRPr="00B52734">
        <w:rPr>
          <w:rFonts w:ascii="Aptos" w:eastAsia="Times New Roman" w:hAnsi="Aptos" w:cs="Times New Roman"/>
          <w:kern w:val="0"/>
          <w:sz w:val="22"/>
          <w:szCs w:val="22"/>
          <w:lang w:val="es-AR"/>
          <w14:ligatures w14:val="none"/>
        </w:rPr>
        <w:t>Normas de la Comisión Nacional de Valores (“</w:t>
      </w:r>
      <w:r w:rsidRPr="00B52734">
        <w:rPr>
          <w:rFonts w:ascii="Aptos" w:eastAsia="Times New Roman" w:hAnsi="Aptos" w:cs="Times New Roman"/>
          <w:kern w:val="0"/>
          <w:sz w:val="22"/>
          <w:szCs w:val="22"/>
          <w:u w:val="single"/>
          <w:lang w:val="es-AR"/>
          <w14:ligatures w14:val="none"/>
        </w:rPr>
        <w:t>CNV</w:t>
      </w:r>
      <w:r w:rsidRPr="00B52734">
        <w:rPr>
          <w:rFonts w:ascii="Aptos" w:eastAsia="Times New Roman" w:hAnsi="Aptos" w:cs="Times New Roman"/>
          <w:kern w:val="0"/>
          <w:sz w:val="22"/>
          <w:szCs w:val="22"/>
          <w:lang w:val="es-AR"/>
          <w14:ligatures w14:val="none"/>
        </w:rPr>
        <w:t xml:space="preserve">”) </w:t>
      </w:r>
      <w:r w:rsidRPr="00B52734">
        <w:rPr>
          <w:rFonts w:ascii="Aptos" w:eastAsia="Times New Roman" w:hAnsi="Aptos" w:cs="Times New Roman"/>
          <w:kern w:val="0"/>
          <w:sz w:val="22"/>
          <w:szCs w:val="22"/>
          <w:lang w:val="es-AR" w:eastAsia="es-ES"/>
          <w14:ligatures w14:val="none"/>
        </w:rPr>
        <w:t xml:space="preserve">según texto ordenado por la Resolución General </w:t>
      </w:r>
      <w:proofErr w:type="spellStart"/>
      <w:r w:rsidRPr="00B52734">
        <w:rPr>
          <w:rFonts w:ascii="Aptos" w:eastAsia="Times New Roman" w:hAnsi="Aptos" w:cs="Times New Roman"/>
          <w:kern w:val="0"/>
          <w:sz w:val="22"/>
          <w:szCs w:val="22"/>
          <w:lang w:val="es-AR" w:eastAsia="es-ES"/>
          <w14:ligatures w14:val="none"/>
        </w:rPr>
        <w:t>N°</w:t>
      </w:r>
      <w:proofErr w:type="spellEnd"/>
      <w:r w:rsidRPr="00B52734">
        <w:rPr>
          <w:rFonts w:ascii="Aptos" w:eastAsia="Times New Roman" w:hAnsi="Aptos" w:cs="Times New Roman"/>
          <w:kern w:val="0"/>
          <w:sz w:val="22"/>
          <w:szCs w:val="22"/>
          <w:lang w:val="es-AR" w:eastAsia="es-ES"/>
          <w14:ligatures w14:val="none"/>
        </w:rPr>
        <w:t xml:space="preserve"> 622/2013 y sus modificatorias (las “</w:t>
      </w:r>
      <w:r w:rsidRPr="00B52734">
        <w:rPr>
          <w:rFonts w:ascii="Aptos" w:eastAsia="Times New Roman" w:hAnsi="Aptos" w:cs="Times New Roman"/>
          <w:kern w:val="0"/>
          <w:sz w:val="22"/>
          <w:szCs w:val="22"/>
          <w:u w:val="single"/>
          <w:lang w:val="es-AR" w:eastAsia="es-ES"/>
          <w14:ligatures w14:val="none"/>
        </w:rPr>
        <w:t xml:space="preserve">Normas de la </w:t>
      </w:r>
      <w:r w:rsidRPr="00B52734">
        <w:rPr>
          <w:rFonts w:ascii="Aptos" w:eastAsia="Times New Roman" w:hAnsi="Aptos" w:cs="Times New Roman"/>
          <w:kern w:val="0"/>
          <w:sz w:val="22"/>
          <w:szCs w:val="22"/>
          <w:u w:val="single"/>
          <w:lang w:val="es-AR"/>
          <w14:ligatures w14:val="none"/>
        </w:rPr>
        <w:t>CNV</w:t>
      </w:r>
      <w:r w:rsidRPr="00B52734">
        <w:rPr>
          <w:rFonts w:ascii="Aptos" w:eastAsia="Times New Roman" w:hAnsi="Aptos" w:cs="Times New Roman"/>
          <w:kern w:val="0"/>
          <w:sz w:val="22"/>
          <w:szCs w:val="22"/>
          <w:lang w:val="es-AR"/>
          <w14:ligatures w14:val="none"/>
        </w:rPr>
        <w:t>”)</w:t>
      </w:r>
      <w:r w:rsidRPr="00B52734">
        <w:rPr>
          <w:rFonts w:ascii="Aptos" w:eastAsia="Times New Roman" w:hAnsi="Aptos" w:cs="Times New Roman"/>
          <w:kern w:val="0"/>
          <w:sz w:val="22"/>
          <w:szCs w:val="22"/>
          <w:lang w:val="es-AR" w:eastAsia="es-ES"/>
          <w14:ligatures w14:val="none"/>
        </w:rPr>
        <w:t xml:space="preserve"> la totalidad de la información contenida en los Documentos de la Oferta, los cuales contienen en forma detallada una descripción de dichos términos y condiciones; (g) que entiende el alcance de la exposición al riesgo con relación a la inversión en las Obligaciones Negociables, y que teniendo en cuenta sus propias circunstancias y condición financiera, ha tomado todos los recaudos que razonablemente ha estimado necesarios antes de realizar la misma, en tal sentido, al tomar la decisión de suscribir las Obligaciones Negociables, se ha basado en su propio análisis de aquellos títulos, incluyendo los beneficios y riesgos involucrados en relación con el Emisor, las Obligaciones Negociables, los Documentos de la Oferta, y esta emisión, y considera que éstos son adecuados a su nivel de entendimiento, perfil del inversor y tolerancia al riesgo, y que no ha recibido ningún tipo de asesoramiento legal, comercial, financiero, impositivo y/o </w:t>
      </w:r>
      <w:r w:rsidRPr="00B52734">
        <w:rPr>
          <w:rFonts w:ascii="Aptos" w:eastAsia="Times New Roman" w:hAnsi="Aptos" w:cs="Times New Roman"/>
          <w:kern w:val="0"/>
          <w:sz w:val="22"/>
          <w:szCs w:val="22"/>
          <w:lang w:val="es-AR" w:eastAsia="es-ES"/>
          <w14:ligatures w14:val="none"/>
        </w:rPr>
        <w:lastRenderedPageBreak/>
        <w:t xml:space="preserve">de otro tipo por parte del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 la Emisora, del Colocador y/o de cualquiera de sus sociedades controlantes, controladas, vinculadas o sujetas al control común; (h) que la decisión de efectuar la presente Orden de Compra ha sido tomada en base a su propio análisis, y que la aceptación por parte del Colocador de la presente Orden de Compra no implica recomendación ni sugerencia de su parte a realizarla; (i) que </w:t>
      </w:r>
      <w:r w:rsidR="00385486" w:rsidRPr="00B52734">
        <w:rPr>
          <w:rFonts w:ascii="Aptos" w:eastAsia="Times New Roman" w:hAnsi="Aptos" w:cs="Times New Roman"/>
          <w:kern w:val="0"/>
          <w:sz w:val="22"/>
          <w:szCs w:val="22"/>
          <w:lang w:val="es-AR" w:eastAsia="es-ES"/>
          <w14:ligatures w14:val="none"/>
        </w:rPr>
        <w:t>Banco de Servicios y Transacciones S, A.</w:t>
      </w:r>
      <w:r w:rsidRPr="00B52734">
        <w:rPr>
          <w:rFonts w:ascii="Aptos" w:eastAsia="Times New Roman" w:hAnsi="Aptos" w:cs="Times New Roman"/>
          <w:kern w:val="0"/>
          <w:sz w:val="22"/>
          <w:szCs w:val="22"/>
          <w:lang w:val="es-AR" w:eastAsia="es-ES"/>
          <w14:ligatures w14:val="none"/>
        </w:rPr>
        <w:t xml:space="preserve"> en su carácter de Colocador no asume responsabilidad alguna, ni otorga garantía respecto del Margen de Corte de las Obligaciones Negociables Clase XXII y/o tasa de interés aplicable de las Obligaciones Negociables Clase XXIII que resultaren del proceso de subasta o licitación pública y su posterior adjudicación, así como en el caso que por decisión gubernamental o normativa, se dejara sin efecto la presente Orden de Compra, la licitación, o alguna de las operaciones relacionadas con el Programa, los Documentos de la Oferta, o se modificara de forma tal la legislación en la materia que la presente se tornara de imposible cumplimiento; (j) que la Orden de Compra constituye una solicitud de suscripción de las Obligaciones Negociables; (k) que el Colocador podrá rechazar la presente Orden de Compra en caso de que, según su opinión, pueda tratarse de una operación sospechosa en los términos de la Ley </w:t>
      </w:r>
      <w:proofErr w:type="spellStart"/>
      <w:r w:rsidRPr="00B52734">
        <w:rPr>
          <w:rFonts w:ascii="Aptos" w:eastAsia="Times New Roman" w:hAnsi="Aptos" w:cs="Times New Roman"/>
          <w:kern w:val="0"/>
          <w:sz w:val="22"/>
          <w:szCs w:val="22"/>
          <w:lang w:val="es-AR" w:eastAsia="es-ES"/>
          <w14:ligatures w14:val="none"/>
        </w:rPr>
        <w:t>N°</w:t>
      </w:r>
      <w:proofErr w:type="spellEnd"/>
      <w:r w:rsidRPr="00B52734">
        <w:rPr>
          <w:rFonts w:ascii="Aptos" w:eastAsia="Times New Roman" w:hAnsi="Aptos" w:cs="Times New Roman"/>
          <w:kern w:val="0"/>
          <w:sz w:val="22"/>
          <w:szCs w:val="22"/>
          <w:lang w:val="es-AR" w:eastAsia="es-ES"/>
          <w14:ligatures w14:val="none"/>
        </w:rPr>
        <w:t xml:space="preserve"> 25.246 de</w:t>
      </w:r>
      <w:r w:rsidRPr="00B52734">
        <w:rPr>
          <w:rFonts w:ascii="Calibri" w:eastAsia="Times New Roman" w:hAnsi="Calibri" w:cs="Calibri"/>
          <w:kern w:val="0"/>
          <w:sz w:val="22"/>
          <w:szCs w:val="22"/>
          <w:lang w:val="es-AR" w:eastAsia="es-ES"/>
          <w14:ligatures w14:val="none"/>
        </w:rPr>
        <w:t xml:space="preserve"> </w:t>
      </w:r>
      <w:r w:rsidRPr="00B52734">
        <w:rPr>
          <w:rFonts w:ascii="Aptos" w:eastAsia="Times New Roman" w:hAnsi="Aptos" w:cs="Calibri"/>
          <w:kern w:val="0"/>
          <w:sz w:val="22"/>
          <w:szCs w:val="22"/>
          <w:lang w:val="es-AR" w:eastAsia="es-ES"/>
          <w14:ligatures w14:val="none"/>
        </w:rPr>
        <w:t>Prevención de Lavado de Activos y Financiación del Terrorismo, sus modificatorias y complementarias, y las resoluciones de la Unidad de Información Financiera (la “</w:t>
      </w:r>
      <w:r w:rsidRPr="00B52734">
        <w:rPr>
          <w:rFonts w:ascii="Aptos" w:eastAsia="Times New Roman" w:hAnsi="Aptos" w:cs="Calibri"/>
          <w:kern w:val="0"/>
          <w:sz w:val="22"/>
          <w:szCs w:val="22"/>
          <w:u w:val="single"/>
          <w:lang w:val="es-AR" w:eastAsia="es-ES"/>
          <w14:ligatures w14:val="none"/>
        </w:rPr>
        <w:t>UIF</w:t>
      </w:r>
      <w:r w:rsidRPr="00B52734">
        <w:rPr>
          <w:rFonts w:ascii="Aptos" w:eastAsia="Times New Roman" w:hAnsi="Aptos" w:cs="Calibri"/>
          <w:kern w:val="0"/>
          <w:sz w:val="22"/>
          <w:szCs w:val="22"/>
          <w:lang w:val="es-AR" w:eastAsia="es-ES"/>
          <w14:ligatures w14:val="none"/>
        </w:rPr>
        <w:t>”), la CNV y/o el Banco Central de la República Argentina (el “</w:t>
      </w:r>
      <w:r w:rsidRPr="00B52734">
        <w:rPr>
          <w:rFonts w:ascii="Aptos" w:eastAsia="Times New Roman" w:hAnsi="Aptos" w:cs="Calibri"/>
          <w:kern w:val="0"/>
          <w:sz w:val="22"/>
          <w:szCs w:val="22"/>
          <w:u w:val="single"/>
          <w:lang w:val="es-AR" w:eastAsia="es-ES"/>
          <w14:ligatures w14:val="none"/>
        </w:rPr>
        <w:t>BCRA</w:t>
      </w:r>
      <w:r w:rsidRPr="00B52734">
        <w:rPr>
          <w:rFonts w:ascii="Aptos" w:eastAsia="Times New Roman" w:hAnsi="Aptos" w:cs="Calibri"/>
          <w:kern w:val="0"/>
          <w:sz w:val="22"/>
          <w:szCs w:val="22"/>
          <w:lang w:val="es-AR" w:eastAsia="es-ES"/>
          <w14:ligatures w14:val="none"/>
        </w:rPr>
        <w:t xml:space="preserve">”); (l) que no se encuentra radicado en una jurisdicción de baja o nula tributación en los términos de la Ley </w:t>
      </w:r>
      <w:proofErr w:type="spellStart"/>
      <w:r w:rsidRPr="00B52734">
        <w:rPr>
          <w:rFonts w:ascii="Aptos" w:eastAsia="Times New Roman" w:hAnsi="Aptos" w:cs="Calibri"/>
          <w:kern w:val="0"/>
          <w:sz w:val="22"/>
          <w:szCs w:val="22"/>
          <w:lang w:val="es-AR" w:eastAsia="es-ES"/>
          <w14:ligatures w14:val="none"/>
        </w:rPr>
        <w:t>N°</w:t>
      </w:r>
      <w:proofErr w:type="spellEnd"/>
      <w:r w:rsidRPr="00B52734">
        <w:rPr>
          <w:rFonts w:ascii="Aptos" w:eastAsia="Times New Roman" w:hAnsi="Aptos" w:cs="Calibri"/>
          <w:kern w:val="0"/>
          <w:sz w:val="22"/>
          <w:szCs w:val="22"/>
          <w:lang w:val="es-AR" w:eastAsia="es-ES"/>
          <w14:ligatures w14:val="none"/>
        </w:rPr>
        <w:t xml:space="preserve"> 11.683 de Procedimiento Fiscal y modificatorias y del Decreto Reglamentario de la Ley del Impuesto a las Ganancias, ni utiliza cuentas pertenecientes a entidades financieras radicadas en dichas jurisdicciones a efectos de realizar la suscripción de las Obligaciones Negociables; (m) que acepta que ni la Emisora ni el Colocador le garantizarán que mediante el mecanismo de adjudicación de las Obligaciones Negociables dispuesto por el Sistema “SIOPEL” de A3 Mercados descripto en el Suplemento (i) se les adjudicará el mismo valor nominal de Obligaciones Negociables solicitado en la presente Orden de Compra (pudiendo inclusive no serle adjudicado ninguna Obligación Negociable); ni que (</w:t>
      </w:r>
      <w:proofErr w:type="spellStart"/>
      <w:r w:rsidRPr="00B52734">
        <w:rPr>
          <w:rFonts w:ascii="Aptos" w:eastAsia="Times New Roman" w:hAnsi="Aptos" w:cs="Calibri"/>
          <w:kern w:val="0"/>
          <w:sz w:val="22"/>
          <w:szCs w:val="22"/>
          <w:lang w:val="es-AR" w:eastAsia="es-ES"/>
          <w14:ligatures w14:val="none"/>
        </w:rPr>
        <w:t>ii</w:t>
      </w:r>
      <w:proofErr w:type="spellEnd"/>
      <w:r w:rsidRPr="00B52734">
        <w:rPr>
          <w:rFonts w:ascii="Aptos" w:eastAsia="Times New Roman" w:hAnsi="Aptos" w:cs="Calibri"/>
          <w:kern w:val="0"/>
          <w:sz w:val="22"/>
          <w:szCs w:val="22"/>
          <w:lang w:val="es-AR" w:eastAsia="es-ES"/>
          <w14:ligatures w14:val="none"/>
        </w:rPr>
        <w:t>) se les adjudicarán las Obligaciones Negociables a las Tasas Solicitadas (en el caso de las Obligaciones Negociables Clase XXIII) o Margen Ofrecido (en el caso de las Obligaciones Negociables Clase XXII); (n) que acepta que la Emisora podrá declarar desierta la colocación; (o) que conoce y acepta que las Obligaciones Negociables no integradas que por cuestiones regulatorias hayan sido emitidas con anterioridad al pago de su precio, serán canceladas con posterioridad a la Fecha de Emisión y Liquidación; (p) que acepta cumplir con todos los actos relativos a la integración de las Obligaciones Negociables en un todo de acuerdo con la normativa del BCRA aplicable en materia de exterior y cambios; (q) que cualquier impuesto, costo, arancel, contribuciones o gravámenes a que dieran lugar la presente, estarán a su cargo y podrán ser debitados de sus cuentas; (r) que todos los datos informados en la presente reciben el carácter de declaración jurada y son correctos y completos al día de la fecha, en tal sentido, el Oferente se compromete a notificar al Colocador cualquier cambio/modificación que se produzca respecto de los datos y documentación aportada dentro de los 30 (treinta) días corridos de producidos; y (s) que reconoce que la presente Orden de Compra constituye una orden irrevocable, vinculante y definitiva en los términos del Artículo 7, Sección II, Capítulo IV, Título VI de las Normas de la CNV, la cual no podrá ser desistida (salvo en el caso de prórroga del Período de Subasta) y, por lo tanto, renuncia a su facultad de revocación, ratificación ni de que la misma sea retirada.</w:t>
      </w:r>
    </w:p>
    <w:p w14:paraId="1CE57465"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p>
    <w:p w14:paraId="29AF143E" w14:textId="77777777" w:rsidR="00032352" w:rsidRPr="00B52734" w:rsidRDefault="00032352" w:rsidP="00032352">
      <w:pPr>
        <w:numPr>
          <w:ilvl w:val="0"/>
          <w:numId w:val="2"/>
        </w:num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u w:val="single"/>
          <w:lang w:val="es-AR" w:eastAsia="es-ES"/>
          <w14:ligatures w14:val="none"/>
        </w:rPr>
        <w:t>Suministro de Información y/o Documentación</w:t>
      </w:r>
      <w:r w:rsidRPr="00B52734">
        <w:rPr>
          <w:rFonts w:ascii="Aptos" w:eastAsia="Times New Roman" w:hAnsi="Aptos" w:cs="Calibri"/>
          <w:kern w:val="0"/>
          <w:sz w:val="22"/>
          <w:szCs w:val="22"/>
          <w:lang w:val="es-AR" w:eastAsia="es-ES"/>
          <w14:ligatures w14:val="none"/>
        </w:rPr>
        <w:t xml:space="preserve">: El Oferente toma conocimiento de que el Colocador se encuentra facultado a requerir toda la información necesaria para dar </w:t>
      </w:r>
      <w:r w:rsidRPr="00B52734">
        <w:rPr>
          <w:rFonts w:ascii="Aptos" w:eastAsia="Times New Roman" w:hAnsi="Aptos" w:cs="Calibri"/>
          <w:kern w:val="0"/>
          <w:sz w:val="22"/>
          <w:szCs w:val="22"/>
          <w:lang w:val="es-AR" w:eastAsia="es-ES"/>
          <w14:ligatures w14:val="none"/>
        </w:rPr>
        <w:lastRenderedPageBreak/>
        <w:t xml:space="preserve">cumplimiento a las Normas de la CNV, normativa del BCRA y demás que sean aplicables y relacionadas con la Ley </w:t>
      </w:r>
      <w:proofErr w:type="spellStart"/>
      <w:r w:rsidRPr="00B52734">
        <w:rPr>
          <w:rFonts w:ascii="Aptos" w:eastAsia="Times New Roman" w:hAnsi="Aptos" w:cs="Calibri"/>
          <w:kern w:val="0"/>
          <w:sz w:val="22"/>
          <w:szCs w:val="22"/>
          <w:lang w:val="es-AR" w:eastAsia="es-ES"/>
          <w14:ligatures w14:val="none"/>
        </w:rPr>
        <w:t>N°</w:t>
      </w:r>
      <w:proofErr w:type="spellEnd"/>
      <w:r w:rsidRPr="00B52734">
        <w:rPr>
          <w:rFonts w:ascii="Aptos" w:eastAsia="Times New Roman" w:hAnsi="Aptos" w:cs="Calibri"/>
          <w:kern w:val="0"/>
          <w:sz w:val="22"/>
          <w:szCs w:val="22"/>
          <w:lang w:val="es-AR" w:eastAsia="es-ES"/>
          <w14:ligatures w14:val="none"/>
        </w:rPr>
        <w:t xml:space="preserve"> 25.246 de Prevención de Lavado de Activos y Financiación del Terrorismo, sus complementarias, modificatorias o establecidas por la CNV y/o BCRA y/o BCBA y/o UIF. En consecuencia, el Oferente se compromete a colaborar con el Colocador mediante el suministro de información, la entrega de documentación e informes, así como la provisión de todos aquellos datos que sean necesarios y/o convenientes para que el Colocador pueda dar acabado cumplimiento a las obligaciones aquí previstas. En consecuencia, el Oferente se compromete y se obliga de manera irrevocable a colaborar con el Colocador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Colocador pueda dar acabado cumplimiento a las obligaciones allí previstas. En tal sentido, de conformidad con las normas de la UIF se adjuntará con la presente la documentación respaldatoria correspondiente a lo declarado precedentemente. </w:t>
      </w:r>
    </w:p>
    <w:p w14:paraId="3CA8684A" w14:textId="77777777" w:rsidR="00032352" w:rsidRPr="00B52734" w:rsidRDefault="00032352" w:rsidP="00032352">
      <w:pPr>
        <w:spacing w:after="0" w:line="240" w:lineRule="auto"/>
        <w:ind w:left="720" w:right="-271"/>
        <w:jc w:val="both"/>
        <w:rPr>
          <w:rFonts w:ascii="Aptos" w:eastAsia="Times New Roman" w:hAnsi="Aptos" w:cs="Calibri"/>
          <w:kern w:val="0"/>
          <w:sz w:val="22"/>
          <w:szCs w:val="22"/>
          <w:lang w:val="es-AR" w:eastAsia="es-ES"/>
          <w14:ligatures w14:val="none"/>
        </w:rPr>
      </w:pPr>
    </w:p>
    <w:p w14:paraId="23B5A997" w14:textId="77777777" w:rsidR="00032352" w:rsidRPr="00B52734" w:rsidRDefault="00032352" w:rsidP="00032352">
      <w:pPr>
        <w:spacing w:after="0" w:line="240" w:lineRule="auto"/>
        <w:ind w:left="720"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El Oferente acepta que el Colocador podrá rechazar la presente en caso de que no cumpla con la normativa antes mencionada y/o los requerimientos efectuados por el Colocador. Adicionalmente, el Oferente reconoce y acepta de conformidad que, ante un requerimiento fehaciente a la Emisora y/o al Colocador enviado por la CNV y/o el BCRA y/o la UIF y/u otro organismo con facultades suficientes, solicitando su legajo y/o la información correspondiente a la presente Orden de Compra, como así también información respaldatoria, documental, crediticia y datos personales (en los términos de la Ley </w:t>
      </w:r>
      <w:proofErr w:type="spellStart"/>
      <w:r w:rsidRPr="00B52734">
        <w:rPr>
          <w:rFonts w:ascii="Aptos" w:eastAsia="Times New Roman" w:hAnsi="Aptos" w:cs="Calibri"/>
          <w:kern w:val="0"/>
          <w:sz w:val="22"/>
          <w:szCs w:val="22"/>
          <w:lang w:val="es-AR" w:eastAsia="es-ES"/>
          <w14:ligatures w14:val="none"/>
        </w:rPr>
        <w:t>Nº</w:t>
      </w:r>
      <w:proofErr w:type="spellEnd"/>
      <w:r w:rsidRPr="00B52734">
        <w:rPr>
          <w:rFonts w:ascii="Aptos" w:eastAsia="Times New Roman" w:hAnsi="Aptos" w:cs="Calibri"/>
          <w:kern w:val="0"/>
          <w:sz w:val="22"/>
          <w:szCs w:val="22"/>
          <w:lang w:val="es-AR" w:eastAsia="es-ES"/>
          <w14:ligatures w14:val="none"/>
        </w:rPr>
        <w:t xml:space="preserve"> 25.326 y sus modificatorias y/o complementarias) que sea trasladado en forma fehaciente al Colocador, según sea el caso, éste entregará a la Emisora o directamente al organismo que corresponda, copia simple de la información que el organismo pertinente hubiera solicitado. Asimismo, acepta que la información, datos personales y copia de su legajo como cliente del Colocador puedan ser compartidos y tengan copia/acceso a éstos las empresas del grupo económico/empresas vinculadas al que el Colocador pertenece, motivo por el cual renuncia a efectuar cualquier reclamo de cualquier naturaleza con causa en, o derivada de, la información y/o documentación entregada en tales circunstancias.</w:t>
      </w:r>
    </w:p>
    <w:p w14:paraId="0B37BD02"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p>
    <w:p w14:paraId="745A9D36" w14:textId="77777777" w:rsidR="00032352" w:rsidRPr="00B52734" w:rsidRDefault="00032352" w:rsidP="00032352">
      <w:pPr>
        <w:numPr>
          <w:ilvl w:val="0"/>
          <w:numId w:val="2"/>
        </w:num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u w:val="single"/>
          <w:lang w:val="es-AR" w:eastAsia="es-ES"/>
          <w14:ligatures w14:val="none"/>
        </w:rPr>
        <w:t>No Integración</w:t>
      </w:r>
      <w:r w:rsidRPr="00B52734">
        <w:rPr>
          <w:rFonts w:ascii="Aptos" w:eastAsia="Times New Roman" w:hAnsi="Aptos" w:cs="Calibri"/>
          <w:kern w:val="0"/>
          <w:sz w:val="22"/>
          <w:szCs w:val="22"/>
          <w:lang w:val="es-AR" w:eastAsia="es-ES"/>
          <w14:ligatures w14:val="none"/>
        </w:rPr>
        <w:t xml:space="preserve">: </w:t>
      </w:r>
    </w:p>
    <w:p w14:paraId="534E1641"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p>
    <w:p w14:paraId="75B89C58"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El Oferente reconoce y acepta que en caso que las Órdenes de Compra adjudicadas no sean integradas en o antes de las 14:00 horas de la Fecha de Emisión y Liquidación, el Colocador procederá según las instrucciones que le imparta la Emisora (que podrán incluir, entre otras, la pérdida por parte de los Oferentes incumplidores del derecho de suscribir las Obligaciones Negociables en cuestión sin necesidad de otorgarle la posibilidad de remediar su incumplimiento), sin perjuicio que dicha circunstancia no generará responsabilidad alguna a la Emisora y/o al Colocador ni otorgará a los agentes de A3 Mercados y/o agentes intermediarios habilitados de éste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a la Emisora y/o al Colocador. </w:t>
      </w:r>
    </w:p>
    <w:p w14:paraId="4652C8EA"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p>
    <w:p w14:paraId="70F2970A" w14:textId="77777777" w:rsidR="00032352" w:rsidRPr="00B52734" w:rsidRDefault="00032352" w:rsidP="00032352">
      <w:pPr>
        <w:numPr>
          <w:ilvl w:val="0"/>
          <w:numId w:val="2"/>
        </w:num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u w:val="single"/>
          <w:lang w:val="es-AR" w:eastAsia="es-ES"/>
          <w14:ligatures w14:val="none"/>
        </w:rPr>
        <w:lastRenderedPageBreak/>
        <w:t>Declaración Jurada sobre el Origen de los Fondos</w:t>
      </w:r>
      <w:r w:rsidRPr="00B52734">
        <w:rPr>
          <w:rFonts w:ascii="Aptos" w:eastAsia="Times New Roman" w:hAnsi="Aptos" w:cs="Calibri"/>
          <w:kern w:val="0"/>
          <w:sz w:val="22"/>
          <w:szCs w:val="22"/>
          <w:lang w:val="es-AR" w:eastAsia="es-ES"/>
          <w14:ligatures w14:val="none"/>
        </w:rPr>
        <w:t xml:space="preserve">: En cumplimiento de la normativa vigente en materia de prevención y control de lavado de activos, proveniente de actividades ilícitas y prevención de financiamiento del terrorismo (Ley </w:t>
      </w:r>
      <w:proofErr w:type="spellStart"/>
      <w:r w:rsidRPr="00B52734">
        <w:rPr>
          <w:rFonts w:ascii="Aptos" w:eastAsia="Times New Roman" w:hAnsi="Aptos" w:cs="Calibri"/>
          <w:kern w:val="0"/>
          <w:sz w:val="22"/>
          <w:szCs w:val="22"/>
          <w:lang w:val="es-AR" w:eastAsia="es-ES"/>
          <w14:ligatures w14:val="none"/>
        </w:rPr>
        <w:t>Nº</w:t>
      </w:r>
      <w:proofErr w:type="spellEnd"/>
      <w:r w:rsidRPr="00B52734">
        <w:rPr>
          <w:rFonts w:ascii="Aptos" w:eastAsia="Times New Roman" w:hAnsi="Aptos" w:cs="Calibri"/>
          <w:kern w:val="0"/>
          <w:sz w:val="22"/>
          <w:szCs w:val="22"/>
          <w:lang w:val="es-AR" w:eastAsia="es-ES"/>
          <w14:ligatures w14:val="none"/>
        </w:rPr>
        <w:t xml:space="preserve"> 25.246, la Resolución UIF N°78/2023, y sus respectivas normas modificatorias y complementarias que declara conocer incluyendo, sin limitación, la Resolución UIF N°99/2023), el Oferente informa con carácter de </w:t>
      </w:r>
      <w:r w:rsidRPr="00B52734">
        <w:rPr>
          <w:rFonts w:ascii="Aptos" w:eastAsia="Times New Roman" w:hAnsi="Aptos" w:cs="Calibri"/>
          <w:b/>
          <w:kern w:val="0"/>
          <w:sz w:val="22"/>
          <w:szCs w:val="22"/>
          <w:lang w:val="es-AR" w:eastAsia="es-ES"/>
          <w14:ligatures w14:val="none"/>
        </w:rPr>
        <w:t>DECLARACIÓN JURADA</w:t>
      </w:r>
      <w:r w:rsidRPr="00B52734">
        <w:rPr>
          <w:rFonts w:ascii="Aptos" w:eastAsia="Times New Roman" w:hAnsi="Aptos" w:cs="Calibri"/>
          <w:kern w:val="0"/>
          <w:sz w:val="22"/>
          <w:szCs w:val="22"/>
          <w:lang w:val="es-AR" w:eastAsia="es-ES"/>
          <w14:ligatures w14:val="none"/>
        </w:rPr>
        <w:t xml:space="preserve"> que los fondos utilizados por el solicitante para esta Orden de Compra dirigida al Colocador, provienen de actividades lícitas relacionadas con su actividad declarada. También en carácter de </w:t>
      </w:r>
      <w:r w:rsidRPr="00B52734">
        <w:rPr>
          <w:rFonts w:ascii="Aptos" w:eastAsia="Times New Roman" w:hAnsi="Aptos" w:cs="Calibri"/>
          <w:b/>
          <w:kern w:val="0"/>
          <w:sz w:val="22"/>
          <w:szCs w:val="22"/>
          <w:lang w:val="es-AR" w:eastAsia="es-ES"/>
          <w14:ligatures w14:val="none"/>
        </w:rPr>
        <w:t>DECLARACIÓN JURADA</w:t>
      </w:r>
      <w:r w:rsidRPr="00B52734">
        <w:rPr>
          <w:rFonts w:ascii="Aptos" w:eastAsia="Times New Roman" w:hAnsi="Aptos" w:cs="Calibri"/>
          <w:kern w:val="0"/>
          <w:sz w:val="22"/>
          <w:szCs w:val="22"/>
          <w:lang w:val="es-AR" w:eastAsia="es-ES"/>
          <w14:ligatures w14:val="none"/>
        </w:rPr>
        <w:t>, manifiesta que las informaciones consignadas en la presente para los registros del Colocador son exactas y verdaderas. El Oferente se obliga a entregar al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auditados por Contador Público y certificado por el consejo profesional correspondiente).</w:t>
      </w:r>
    </w:p>
    <w:p w14:paraId="25995943" w14:textId="77777777" w:rsidR="00032352" w:rsidRPr="00B52734" w:rsidRDefault="00032352" w:rsidP="00032352">
      <w:pPr>
        <w:spacing w:after="0" w:line="240" w:lineRule="auto"/>
        <w:ind w:left="720" w:right="-271"/>
        <w:jc w:val="both"/>
        <w:rPr>
          <w:rFonts w:ascii="Aptos" w:eastAsia="Times New Roman" w:hAnsi="Aptos" w:cs="Calibri"/>
          <w:kern w:val="0"/>
          <w:sz w:val="22"/>
          <w:szCs w:val="22"/>
          <w:lang w:val="es-AR" w:eastAsia="es-ES"/>
          <w14:ligatures w14:val="none"/>
        </w:rPr>
      </w:pPr>
    </w:p>
    <w:p w14:paraId="07023849" w14:textId="77777777" w:rsidR="00032352" w:rsidRPr="00B52734" w:rsidRDefault="00032352" w:rsidP="00032352">
      <w:pPr>
        <w:spacing w:after="0" w:line="240" w:lineRule="auto"/>
        <w:ind w:left="720"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El Oferente manifiesta con carácter de declaración jurada no ser una persona o entidad con domicilio, constituida y/o residente de las denominadas “jurisdicciones de baja o nula tributación” o “no cooperantes”, y que a efectos de la adquisición de las Obligaciones Negociables no se utilizan cuentas localizadas o abiertas en las denominadas “jurisdicciones de nula o baja tributación” o consideradas como “no cooperantes”. Las “jurisdicciones de baja o nula tributación” son los países, dominios, territorios, estados asociados o regímenes tributarios especiales de baja o nula tributación, según la legislación argentina, a los que se refieren los artículos 19 y 20 de la Ley de Impuesto a las Ganancias. Las “jurisdicciones no cooperantes” son aquellos países que no tengan vigente con la República Argentina un acuerdo de intercambio de información en materia tributaria o un convenio para evitar la doble imposición internacional con cláusula amplia de intercambio de información o que, aun teniéndolo, no cumplan efectivamente con el mismo. Asimismo, manifiesto/amos que las informaciones consignadas en la presente para los registros del Colocador son exactas y verdaderas</w:t>
      </w:r>
      <w:r w:rsidRPr="00B52734">
        <w:rPr>
          <w:rFonts w:ascii="Calibri" w:eastAsia="Times New Roman" w:hAnsi="Calibri" w:cs="Calibri"/>
          <w:kern w:val="0"/>
          <w:sz w:val="22"/>
          <w:szCs w:val="22"/>
          <w:lang w:val="es-AR" w:eastAsia="es-ES"/>
          <w14:ligatures w14:val="none"/>
        </w:rPr>
        <w:t>.</w:t>
      </w:r>
    </w:p>
    <w:p w14:paraId="16F5BC92" w14:textId="77777777" w:rsidR="00861BA2" w:rsidRPr="00B52734" w:rsidRDefault="00861BA2" w:rsidP="00861BA2">
      <w:pPr>
        <w:pStyle w:val="Prrafodelista"/>
        <w:numPr>
          <w:ilvl w:val="0"/>
          <w:numId w:val="7"/>
        </w:numPr>
        <w:tabs>
          <w:tab w:val="left" w:pos="142"/>
        </w:tabs>
        <w:spacing w:after="0" w:line="240" w:lineRule="auto"/>
        <w:ind w:left="0" w:right="-234" w:firstLine="0"/>
        <w:contextualSpacing w:val="0"/>
        <w:jc w:val="both"/>
        <w:rPr>
          <w:rFonts w:cstheme="minorHAnsi"/>
          <w:sz w:val="22"/>
          <w:szCs w:val="22"/>
          <w:lang w:val="es-AR"/>
        </w:rPr>
      </w:pPr>
      <w:r w:rsidRPr="00B52734">
        <w:rPr>
          <w:rFonts w:cstheme="minorHAnsi"/>
          <w:sz w:val="22"/>
          <w:szCs w:val="22"/>
          <w:u w:val="single"/>
          <w:lang w:val="es-AR"/>
        </w:rPr>
        <w:t>Declaración Jurada FATCA</w:t>
      </w:r>
      <w:r w:rsidRPr="00B52734">
        <w:rPr>
          <w:rFonts w:cstheme="minorHAnsi"/>
          <w:sz w:val="22"/>
          <w:szCs w:val="22"/>
          <w:lang w:val="es-AR"/>
        </w:rPr>
        <w:t>. Por la presente declaro bajo juramento que se encuentra vigente en todos sus términos la declaración jurada FATCA oportunamente presentada ante esta entidad.</w:t>
      </w:r>
    </w:p>
    <w:p w14:paraId="7B35ECEE" w14:textId="77777777" w:rsidR="00032352" w:rsidRPr="00B52734" w:rsidRDefault="00032352" w:rsidP="00032352">
      <w:pPr>
        <w:spacing w:after="0" w:line="240" w:lineRule="auto"/>
        <w:ind w:right="-234"/>
        <w:jc w:val="both"/>
        <w:rPr>
          <w:rFonts w:ascii="Calibri" w:eastAsia="Times New Roman" w:hAnsi="Calibri" w:cs="Calibri"/>
          <w:kern w:val="0"/>
          <w:sz w:val="22"/>
          <w:szCs w:val="22"/>
          <w:lang w:val="es-AR" w:eastAsia="es-ES"/>
          <w14:ligatures w14:val="none"/>
        </w:rPr>
      </w:pPr>
    </w:p>
    <w:p w14:paraId="5ECF714D" w14:textId="77777777" w:rsidR="00032352" w:rsidRPr="00B52734" w:rsidRDefault="00032352" w:rsidP="00032352">
      <w:pPr>
        <w:pBdr>
          <w:top w:val="single" w:sz="4" w:space="1" w:color="auto"/>
          <w:left w:val="single" w:sz="4" w:space="4" w:color="auto"/>
          <w:bottom w:val="single" w:sz="4" w:space="1" w:color="auto"/>
          <w:right w:val="single" w:sz="4" w:space="0" w:color="auto"/>
        </w:pBdr>
        <w:spacing w:after="0" w:line="240" w:lineRule="auto"/>
        <w:ind w:right="-210"/>
        <w:jc w:val="both"/>
        <w:rPr>
          <w:rFonts w:ascii="Aptos" w:eastAsia="Times New Roman" w:hAnsi="Aptos" w:cs="Calibri"/>
          <w:b/>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Por último, en cumplimiento de lo dispuesto por la Resolución 192/2024 (y sus modificatorias) de la Unidad de Información Financiera (según fuera modificada), el Oferente manifiesta con carácter de declaración jurada que </w:t>
      </w:r>
      <w:r w:rsidRPr="00B52734">
        <w:rPr>
          <w:rFonts w:ascii="Aptos" w:eastAsia="Times New Roman" w:hAnsi="Aptos" w:cs="Calibri"/>
          <w:b/>
          <w:kern w:val="0"/>
          <w:sz w:val="22"/>
          <w:szCs w:val="22"/>
          <w:lang w:val="es-AR" w:eastAsia="es-ES"/>
          <w14:ligatures w14:val="none"/>
        </w:rPr>
        <w:t xml:space="preserve">[SÍ] [NO] </w:t>
      </w:r>
      <w:r w:rsidRPr="00B52734">
        <w:rPr>
          <w:rFonts w:ascii="Aptos" w:eastAsia="Times New Roman" w:hAnsi="Aptos" w:cs="Calibri"/>
          <w:kern w:val="0"/>
          <w:sz w:val="22"/>
          <w:szCs w:val="22"/>
          <w:lang w:val="es-AR" w:eastAsia="es-ES"/>
          <w14:ligatures w14:val="none"/>
        </w:rPr>
        <w:t>es una Persona Políticamente Expuesta, en los términos de dicha resolución y sus modificatorias.</w:t>
      </w:r>
    </w:p>
    <w:p w14:paraId="573A8724"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p>
    <w:p w14:paraId="7B5F46B1" w14:textId="77777777" w:rsidR="00032352" w:rsidRPr="00B52734" w:rsidRDefault="00032352" w:rsidP="00032352">
      <w:pPr>
        <w:numPr>
          <w:ilvl w:val="0"/>
          <w:numId w:val="1"/>
        </w:numPr>
        <w:tabs>
          <w:tab w:val="num" w:pos="0"/>
        </w:tabs>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u w:val="single"/>
          <w:lang w:val="es-AR" w:eastAsia="es-ES"/>
          <w14:ligatures w14:val="none"/>
        </w:rPr>
        <w:t>Disposiciones Adicionales:</w:t>
      </w:r>
      <w:r w:rsidRPr="00B52734">
        <w:rPr>
          <w:rFonts w:ascii="Aptos" w:eastAsia="Times New Roman" w:hAnsi="Aptos" w:cs="Calibri"/>
          <w:kern w:val="0"/>
          <w:sz w:val="22"/>
          <w:szCs w:val="22"/>
          <w:lang w:val="es-AR" w:eastAsia="es-ES"/>
          <w14:ligatures w14:val="none"/>
        </w:rPr>
        <w:t xml:space="preserve"> (a) Todos los impuestos, aranceles, cargas, gastos, comisiones, contribuciones y/o gravámenes de cualquier naturaleza que surjan de cualquier incumplimiento por parte del Oferente, estarán a su cargo y se reembolsarán íntegramente a la Emisora o al Colocador en forma inmediata por cualquier monto que estos hubiesen debido pagar; (b) Esta Orden de Compra y los derechos y obligaciones emergentes de la misma, serán analizados, interpretados y juzgados por las leyes de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w:t>
      </w:r>
      <w:proofErr w:type="spellStart"/>
      <w:r w:rsidRPr="00B52734">
        <w:rPr>
          <w:rFonts w:ascii="Aptos" w:eastAsia="Times New Roman" w:hAnsi="Aptos" w:cs="Calibri"/>
          <w:kern w:val="0"/>
          <w:sz w:val="22"/>
          <w:szCs w:val="22"/>
          <w:lang w:val="es-AR" w:eastAsia="es-ES"/>
          <w14:ligatures w14:val="none"/>
        </w:rPr>
        <w:t>N°</w:t>
      </w:r>
      <w:proofErr w:type="spellEnd"/>
      <w:r w:rsidRPr="00B52734">
        <w:rPr>
          <w:rFonts w:ascii="Aptos" w:eastAsia="Times New Roman" w:hAnsi="Aptos" w:cs="Calibri"/>
          <w:kern w:val="0"/>
          <w:sz w:val="22"/>
          <w:szCs w:val="22"/>
          <w:lang w:val="es-AR" w:eastAsia="es-ES"/>
          <w14:ligatures w14:val="none"/>
        </w:rPr>
        <w:t xml:space="preserve"> 26.831 y sus modificatorias, los Inversores tienen el derecho de optar por acudir a los tribunales judiciales competentes), y en virtud de la delegación de facultades otorgadas por el </w:t>
      </w:r>
      <w:r w:rsidRPr="00B52734">
        <w:rPr>
          <w:rFonts w:ascii="Aptos" w:eastAsia="Times New Roman" w:hAnsi="Aptos" w:cs="Calibri"/>
          <w:kern w:val="0"/>
          <w:sz w:val="22"/>
          <w:szCs w:val="22"/>
          <w:lang w:val="es-AR" w:eastAsia="es-ES"/>
          <w14:ligatures w14:val="none"/>
        </w:rPr>
        <w:lastRenderedPageBreak/>
        <w:t xml:space="preserve">BYMA a la BCBA en materia de constitución de tribunales arbitrales, de conformidad con lo dispuesto en la Resolución </w:t>
      </w:r>
      <w:proofErr w:type="spellStart"/>
      <w:r w:rsidRPr="00B52734">
        <w:rPr>
          <w:rFonts w:ascii="Aptos" w:eastAsia="Times New Roman" w:hAnsi="Aptos" w:cs="Calibri"/>
          <w:kern w:val="0"/>
          <w:sz w:val="22"/>
          <w:szCs w:val="22"/>
          <w:lang w:val="es-AR" w:eastAsia="es-ES"/>
          <w14:ligatures w14:val="none"/>
        </w:rPr>
        <w:t>N°</w:t>
      </w:r>
      <w:proofErr w:type="spellEnd"/>
      <w:r w:rsidRPr="00B52734">
        <w:rPr>
          <w:rFonts w:ascii="Aptos" w:eastAsia="Times New Roman" w:hAnsi="Aptos" w:cs="Calibri"/>
          <w:kern w:val="0"/>
          <w:sz w:val="22"/>
          <w:szCs w:val="22"/>
          <w:lang w:val="es-AR" w:eastAsia="es-ES"/>
          <w14:ligatures w14:val="none"/>
        </w:rPr>
        <w:t xml:space="preserve"> 18.629 de la CNV; (c) El Oferente autoriza al Colocador para que, por su cuenta y orden o representante que este considere adecuado, transfiera las Obligaciones Negociables, en caso de resultar adjudicados, a la cuenta en Caja de Valores informada precedentemente. Asimismo, el Oferente autoriza el pago, mediante débito de cualquiera de sus cuentas, de las correspondientes comisiones de custodia que en el futuro puedan originarse por las mencionadas Obligaciones Negociables; (d) El Oferente manifiesta que todos los datos informados en el presente revisten el carácter de declaración jurada y son correctos y completos a la fecha; (e) En caso de que el Oferente sea una persona jurídica, declara que la presente Orden de Compra es suscripta por el representante legal o un apoderado con facultades suficientes; y (f) Por medio de la presente, el Oferente toma conocimiento de las siguientes fechas, que podrán ser modificadas por la Emisora por medio de avisos </w:t>
      </w:r>
      <w:proofErr w:type="spellStart"/>
      <w:r w:rsidRPr="00B52734">
        <w:rPr>
          <w:rFonts w:ascii="Aptos" w:eastAsia="Times New Roman" w:hAnsi="Aptos" w:cs="Calibri"/>
          <w:kern w:val="0"/>
          <w:sz w:val="22"/>
          <w:szCs w:val="22"/>
          <w:lang w:val="es-AR" w:eastAsia="es-ES"/>
          <w14:ligatures w14:val="none"/>
        </w:rPr>
        <w:t>rectificatorios</w:t>
      </w:r>
      <w:proofErr w:type="spellEnd"/>
      <w:r w:rsidRPr="00B52734">
        <w:rPr>
          <w:rFonts w:ascii="Aptos" w:eastAsia="Times New Roman" w:hAnsi="Aptos" w:cs="Calibri"/>
          <w:kern w:val="0"/>
          <w:sz w:val="22"/>
          <w:szCs w:val="22"/>
          <w:lang w:val="es-AR" w:eastAsia="es-ES"/>
          <w14:ligatures w14:val="none"/>
        </w:rPr>
        <w:t xml:space="preserve"> y/o avisos complementarios que eventualmente puedan ser publicados, en cuyo caso será publicado el aviso respectivo en la AIF de la CNV, en el Boletín Electrónico de A3 Mercados y en el Boletín de la BCBA:</w:t>
      </w:r>
    </w:p>
    <w:p w14:paraId="1127F39B" w14:textId="77777777" w:rsidR="00032352" w:rsidRPr="00B52734" w:rsidRDefault="00032352" w:rsidP="00032352">
      <w:pPr>
        <w:spacing w:after="0" w:line="240" w:lineRule="auto"/>
        <w:ind w:right="-271"/>
        <w:jc w:val="both"/>
        <w:rPr>
          <w:rFonts w:ascii="Aptos" w:eastAsia="Times New Roman" w:hAnsi="Aptos" w:cs="Calibri"/>
          <w:kern w:val="0"/>
          <w:sz w:val="22"/>
          <w:szCs w:val="22"/>
          <w:u w:val="single"/>
          <w:lang w:val="es-AR" w:eastAsia="es-ES"/>
          <w14:ligatures w14:val="non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227"/>
      </w:tblGrid>
      <w:tr w:rsidR="00032352" w:rsidRPr="00B52734" w14:paraId="3BFF7194" w14:textId="77777777" w:rsidTr="002E2C97">
        <w:trPr>
          <w:trHeight w:val="427"/>
          <w:jc w:val="center"/>
        </w:trPr>
        <w:tc>
          <w:tcPr>
            <w:tcW w:w="1838" w:type="dxa"/>
            <w:shd w:val="clear" w:color="auto" w:fill="auto"/>
          </w:tcPr>
          <w:p w14:paraId="44B94C29" w14:textId="77777777" w:rsidR="00032352" w:rsidRPr="00B52734" w:rsidRDefault="00032352" w:rsidP="00032352">
            <w:pPr>
              <w:spacing w:after="0" w:line="240" w:lineRule="auto"/>
              <w:jc w:val="both"/>
              <w:rPr>
                <w:rFonts w:ascii="Times New Roman" w:eastAsia="Times New Roman" w:hAnsi="Times New Roman" w:cs="Times New Roman"/>
                <w:b/>
                <w:bCs/>
                <w:kern w:val="0"/>
                <w:szCs w:val="20"/>
                <w:lang w:val="es-AR" w:eastAsia="es-ES"/>
                <w14:ligatures w14:val="none"/>
              </w:rPr>
            </w:pPr>
            <w:r w:rsidRPr="00B52734">
              <w:rPr>
                <w:rFonts w:ascii="Times New Roman" w:eastAsia="Times New Roman" w:hAnsi="Times New Roman" w:cs="Times New Roman"/>
                <w:b/>
                <w:bCs/>
                <w:kern w:val="0"/>
                <w:szCs w:val="20"/>
                <w:lang w:val="es-AR" w:eastAsia="es-ES"/>
                <w14:ligatures w14:val="none"/>
              </w:rPr>
              <w:t>Período de Difusión</w:t>
            </w:r>
          </w:p>
        </w:tc>
        <w:tc>
          <w:tcPr>
            <w:tcW w:w="8227" w:type="dxa"/>
            <w:shd w:val="clear" w:color="auto" w:fill="auto"/>
          </w:tcPr>
          <w:p w14:paraId="13ABAC58"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Comenzará el 7 de julio de 2025 y finalizará el 10 de julio de 2025.</w:t>
            </w:r>
          </w:p>
        </w:tc>
      </w:tr>
      <w:tr w:rsidR="00032352" w:rsidRPr="00B52734" w14:paraId="25D4F9E6" w14:textId="77777777" w:rsidTr="002E2C97">
        <w:trPr>
          <w:trHeight w:val="407"/>
          <w:jc w:val="center"/>
        </w:trPr>
        <w:tc>
          <w:tcPr>
            <w:tcW w:w="1838" w:type="dxa"/>
            <w:shd w:val="clear" w:color="auto" w:fill="auto"/>
          </w:tcPr>
          <w:p w14:paraId="51B50ACA" w14:textId="77777777" w:rsidR="00032352" w:rsidRPr="00B52734" w:rsidRDefault="00032352" w:rsidP="00032352">
            <w:pPr>
              <w:spacing w:after="0" w:line="240" w:lineRule="auto"/>
              <w:jc w:val="both"/>
              <w:rPr>
                <w:rFonts w:ascii="Times New Roman" w:eastAsia="Times New Roman" w:hAnsi="Times New Roman" w:cs="Times New Roman"/>
                <w:b/>
                <w:bCs/>
                <w:kern w:val="0"/>
                <w:szCs w:val="20"/>
                <w:lang w:val="es-AR" w:eastAsia="es-ES"/>
                <w14:ligatures w14:val="none"/>
              </w:rPr>
            </w:pPr>
            <w:r w:rsidRPr="00B52734">
              <w:rPr>
                <w:rFonts w:ascii="Times New Roman" w:eastAsia="Times New Roman" w:hAnsi="Times New Roman" w:cs="Times New Roman"/>
                <w:b/>
                <w:bCs/>
                <w:kern w:val="0"/>
                <w:szCs w:val="20"/>
                <w:lang w:val="es-AR" w:eastAsia="es-ES"/>
                <w14:ligatures w14:val="none"/>
              </w:rPr>
              <w:t>Período de Subasta</w:t>
            </w:r>
          </w:p>
        </w:tc>
        <w:tc>
          <w:tcPr>
            <w:tcW w:w="8227" w:type="dxa"/>
            <w:shd w:val="clear" w:color="auto" w:fill="auto"/>
          </w:tcPr>
          <w:p w14:paraId="296BC0EC" w14:textId="77777777" w:rsidR="00032352" w:rsidRPr="00B52734" w:rsidRDefault="00032352" w:rsidP="00032352">
            <w:pPr>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Tendrá lugar entre las 10:00 y las 16:00 del 11</w:t>
            </w:r>
            <w:r w:rsidRPr="00B52734">
              <w:rPr>
                <w:rFonts w:ascii="Calibri" w:eastAsia="Times New Roman" w:hAnsi="Calibri" w:cs="Calibri"/>
                <w:b/>
                <w:bCs/>
                <w:kern w:val="0"/>
                <w:sz w:val="18"/>
                <w:szCs w:val="18"/>
                <w:lang w:val="es-AR" w:eastAsia="es-ES"/>
                <w14:ligatures w14:val="none"/>
              </w:rPr>
              <w:t xml:space="preserve"> </w:t>
            </w:r>
            <w:r w:rsidRPr="00B52734">
              <w:rPr>
                <w:rFonts w:ascii="Aptos" w:eastAsia="Times New Roman" w:hAnsi="Aptos" w:cs="Calibri"/>
                <w:kern w:val="0"/>
                <w:sz w:val="22"/>
                <w:szCs w:val="22"/>
                <w:lang w:val="es-AR" w:eastAsia="es-ES"/>
                <w14:ligatures w14:val="none"/>
              </w:rPr>
              <w:t>de julio de 2025.</w:t>
            </w:r>
          </w:p>
        </w:tc>
      </w:tr>
    </w:tbl>
    <w:p w14:paraId="7683B010" w14:textId="77777777" w:rsidR="00032352" w:rsidRPr="00B52734" w:rsidRDefault="00032352" w:rsidP="00032352">
      <w:pPr>
        <w:spacing w:after="0" w:line="240" w:lineRule="auto"/>
        <w:ind w:left="708" w:right="-271"/>
        <w:jc w:val="both"/>
        <w:rPr>
          <w:rFonts w:ascii="Aptos" w:eastAsia="Times New Roman" w:hAnsi="Aptos" w:cs="Calibri"/>
          <w:kern w:val="0"/>
          <w:sz w:val="22"/>
          <w:szCs w:val="22"/>
          <w:lang w:val="es-AR" w:eastAsia="es-ES"/>
          <w14:ligatures w14:val="none"/>
        </w:rPr>
      </w:pPr>
    </w:p>
    <w:p w14:paraId="350648E7" w14:textId="77777777" w:rsidR="00032352" w:rsidRPr="00B52734" w:rsidRDefault="00032352" w:rsidP="00032352">
      <w:pPr>
        <w:numPr>
          <w:ilvl w:val="0"/>
          <w:numId w:val="1"/>
        </w:numPr>
        <w:tabs>
          <w:tab w:val="num" w:pos="0"/>
        </w:tabs>
        <w:spacing w:after="0" w:line="240" w:lineRule="auto"/>
        <w:ind w:right="-271"/>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Finalmente, el Oferente reconoce que el Colocador se reserva el derecho de no aceptar las Órdenes de Compra que no cumplan con todos los requisitos establecidos ni con las normativas aplicables en materia de prevención de lavado de activos y financiación del terrorismo establecidas en la Ley N°25.246 de Prevención de Lavado de Activos y Financiación del Terrorismo y sus modificatorias. </w:t>
      </w:r>
    </w:p>
    <w:p w14:paraId="4D279FC2" w14:textId="77777777" w:rsidR="00032352" w:rsidRPr="00B52734" w:rsidRDefault="00032352" w:rsidP="00032352">
      <w:pPr>
        <w:autoSpaceDE w:val="0"/>
        <w:autoSpaceDN w:val="0"/>
        <w:adjustRightInd w:val="0"/>
        <w:spacing w:after="0" w:line="240" w:lineRule="auto"/>
        <w:ind w:right="-271"/>
        <w:jc w:val="both"/>
        <w:rPr>
          <w:rFonts w:ascii="Aptos" w:eastAsia="Times New Roman" w:hAnsi="Aptos" w:cs="Calibri"/>
          <w:kern w:val="0"/>
          <w:sz w:val="22"/>
          <w:szCs w:val="22"/>
          <w:lang w:val="es-AR" w:eastAsia="es-ES"/>
          <w14:ligatures w14:val="none"/>
        </w:rPr>
      </w:pPr>
    </w:p>
    <w:p w14:paraId="0428A727" w14:textId="77777777" w:rsidR="00032352" w:rsidRPr="00B52734" w:rsidRDefault="00032352" w:rsidP="00032352">
      <w:pPr>
        <w:numPr>
          <w:ilvl w:val="0"/>
          <w:numId w:val="2"/>
        </w:numPr>
        <w:autoSpaceDE w:val="0"/>
        <w:autoSpaceDN w:val="0"/>
        <w:adjustRightInd w:val="0"/>
        <w:spacing w:after="0" w:line="240" w:lineRule="auto"/>
        <w:ind w:right="-271"/>
        <w:jc w:val="both"/>
        <w:rPr>
          <w:rFonts w:ascii="Aptos" w:eastAsia="Times New Roman" w:hAnsi="Aptos" w:cs="Calibri"/>
          <w:kern w:val="0"/>
          <w:sz w:val="22"/>
          <w:szCs w:val="22"/>
          <w:u w:val="single"/>
          <w:lang w:val="es-AR" w:eastAsia="es-ES"/>
          <w14:ligatures w14:val="none"/>
        </w:rPr>
      </w:pPr>
      <w:r w:rsidRPr="00B52734">
        <w:rPr>
          <w:rFonts w:ascii="Aptos" w:eastAsia="Times New Roman" w:hAnsi="Aptos" w:cs="Calibri"/>
          <w:kern w:val="0"/>
          <w:sz w:val="22"/>
          <w:szCs w:val="22"/>
          <w:u w:val="single"/>
          <w:lang w:val="es-AR" w:eastAsia="es-ES"/>
          <w14:ligatures w14:val="none"/>
        </w:rPr>
        <w:t>Responsabilidad</w:t>
      </w:r>
      <w:r w:rsidRPr="00B52734">
        <w:rPr>
          <w:rFonts w:ascii="Aptos" w:eastAsia="Times New Roman" w:hAnsi="Aptos" w:cs="Calibri"/>
          <w:kern w:val="0"/>
          <w:sz w:val="22"/>
          <w:szCs w:val="22"/>
          <w:lang w:val="es-AR" w:eastAsia="es-ES"/>
          <w14:ligatures w14:val="none"/>
        </w:rPr>
        <w:t>:</w:t>
      </w:r>
    </w:p>
    <w:p w14:paraId="26A13632" w14:textId="77777777" w:rsidR="00032352" w:rsidRPr="00B52734" w:rsidRDefault="00032352" w:rsidP="00032352">
      <w:pPr>
        <w:autoSpaceDE w:val="0"/>
        <w:autoSpaceDN w:val="0"/>
        <w:adjustRightInd w:val="0"/>
        <w:spacing w:after="0" w:line="240" w:lineRule="auto"/>
        <w:ind w:right="-271"/>
        <w:jc w:val="both"/>
        <w:rPr>
          <w:rFonts w:ascii="Aptos" w:eastAsia="Times New Roman" w:hAnsi="Aptos" w:cs="Calibri"/>
          <w:kern w:val="0"/>
          <w:sz w:val="22"/>
          <w:szCs w:val="22"/>
          <w:u w:val="single"/>
          <w:lang w:val="es-AR" w:eastAsia="es-ES"/>
          <w14:ligatures w14:val="none"/>
        </w:rPr>
      </w:pPr>
    </w:p>
    <w:p w14:paraId="11A8EA64" w14:textId="77777777" w:rsidR="00032352" w:rsidRPr="00B52734" w:rsidRDefault="00032352" w:rsidP="00032352">
      <w:pPr>
        <w:autoSpaceDE w:val="0"/>
        <w:autoSpaceDN w:val="0"/>
        <w:adjustRightInd w:val="0"/>
        <w:spacing w:after="0" w:line="240" w:lineRule="auto"/>
        <w:ind w:right="-271"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El Oferente acepta que con excepción de lo dispuesto en el Art. 119 de la Ley de Mercado de Capitales, el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1834CA15" w14:textId="77777777" w:rsidR="00032352" w:rsidRPr="00B52734" w:rsidRDefault="00032352" w:rsidP="00032352">
      <w:pPr>
        <w:autoSpaceDE w:val="0"/>
        <w:autoSpaceDN w:val="0"/>
        <w:adjustRightInd w:val="0"/>
        <w:spacing w:after="0" w:line="240" w:lineRule="auto"/>
        <w:ind w:right="-271" w:firstLine="708"/>
        <w:jc w:val="both"/>
        <w:rPr>
          <w:rFonts w:ascii="Aptos" w:eastAsia="Times New Roman" w:hAnsi="Aptos" w:cs="Calibri"/>
          <w:kern w:val="0"/>
          <w:sz w:val="22"/>
          <w:szCs w:val="22"/>
          <w:lang w:val="es-AR" w:eastAsia="es-ES"/>
          <w14:ligatures w14:val="none"/>
        </w:rPr>
      </w:pPr>
    </w:p>
    <w:p w14:paraId="3C39539B" w14:textId="77777777" w:rsidR="00032352" w:rsidRPr="00B52734" w:rsidRDefault="00032352" w:rsidP="00032352">
      <w:pPr>
        <w:autoSpaceDE w:val="0"/>
        <w:autoSpaceDN w:val="0"/>
        <w:adjustRightInd w:val="0"/>
        <w:spacing w:after="0" w:line="240" w:lineRule="auto"/>
        <w:ind w:right="-271"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En particular, el Oferente acepta que el Colocador no responderá ante el Oferente en ningún caso por la solvencia o incumplimiento de las entidades, instituciones y personas con las que opere o realice las</w:t>
      </w:r>
      <w:r w:rsidRPr="00B52734">
        <w:rPr>
          <w:rFonts w:ascii="Calibri" w:eastAsia="Times New Roman" w:hAnsi="Calibri" w:cs="Calibri"/>
          <w:kern w:val="0"/>
          <w:sz w:val="22"/>
          <w:szCs w:val="22"/>
          <w:lang w:val="es-AR" w:eastAsia="es-ES"/>
          <w14:ligatures w14:val="none"/>
        </w:rPr>
        <w:t xml:space="preserve"> </w:t>
      </w:r>
      <w:r w:rsidRPr="00B52734">
        <w:rPr>
          <w:rFonts w:ascii="Aptos" w:eastAsia="Times New Roman" w:hAnsi="Aptos" w:cs="Calibri"/>
          <w:kern w:val="0"/>
          <w:sz w:val="22"/>
          <w:szCs w:val="22"/>
          <w:lang w:val="es-AR" w:eastAsia="es-ES"/>
          <w14:ligatures w14:val="none"/>
        </w:rPr>
        <w:t>transacciones directa o indirectamente relacionadas con la presente transacción y/o con las Obligaciones Negociables, incluyendo, sin limitación, la Emisora.</w:t>
      </w:r>
    </w:p>
    <w:p w14:paraId="7E494230" w14:textId="77777777" w:rsidR="00032352" w:rsidRPr="00B52734" w:rsidRDefault="00032352" w:rsidP="00032352">
      <w:pPr>
        <w:autoSpaceDE w:val="0"/>
        <w:autoSpaceDN w:val="0"/>
        <w:adjustRightInd w:val="0"/>
        <w:spacing w:after="0" w:line="240" w:lineRule="auto"/>
        <w:ind w:right="-271" w:firstLine="708"/>
        <w:jc w:val="both"/>
        <w:rPr>
          <w:rFonts w:ascii="Aptos" w:eastAsia="Times New Roman" w:hAnsi="Aptos" w:cs="Calibri"/>
          <w:kern w:val="0"/>
          <w:sz w:val="22"/>
          <w:szCs w:val="22"/>
          <w:lang w:val="es-AR" w:eastAsia="es-ES"/>
          <w14:ligatures w14:val="none"/>
        </w:rPr>
      </w:pPr>
    </w:p>
    <w:p w14:paraId="5B7D2652" w14:textId="77777777" w:rsidR="00032352" w:rsidRPr="00B52734" w:rsidRDefault="00032352" w:rsidP="00032352">
      <w:pPr>
        <w:autoSpaceDE w:val="0"/>
        <w:autoSpaceDN w:val="0"/>
        <w:adjustRightInd w:val="0"/>
        <w:spacing w:after="0" w:line="240" w:lineRule="auto"/>
        <w:ind w:right="-271"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Las Obligaciones Negociables no cuentan con un mercado secundario asegurado. Por ello, el Colocador no puede brindar garantías ni responderá acerca de la liquidez ni de la existencia de un mercado secundario en relación con dichas Obligaciones Negociables.</w:t>
      </w:r>
    </w:p>
    <w:p w14:paraId="6B33ED6E" w14:textId="77777777" w:rsidR="00032352" w:rsidRPr="00B52734" w:rsidRDefault="00032352" w:rsidP="00032352">
      <w:pPr>
        <w:autoSpaceDE w:val="0"/>
        <w:autoSpaceDN w:val="0"/>
        <w:adjustRightInd w:val="0"/>
        <w:spacing w:after="0" w:line="240" w:lineRule="auto"/>
        <w:ind w:right="-271" w:firstLineChars="322" w:firstLine="708"/>
        <w:jc w:val="both"/>
        <w:rPr>
          <w:rFonts w:ascii="Aptos" w:eastAsia="Times New Roman" w:hAnsi="Aptos" w:cs="Calibri"/>
          <w:kern w:val="0"/>
          <w:sz w:val="22"/>
          <w:szCs w:val="22"/>
          <w:lang w:val="es-AR" w:eastAsia="es-ES"/>
          <w14:ligatures w14:val="none"/>
        </w:rPr>
      </w:pPr>
    </w:p>
    <w:p w14:paraId="42288667" w14:textId="77777777" w:rsidR="00032352" w:rsidRPr="00B52734" w:rsidRDefault="00032352" w:rsidP="00032352">
      <w:pPr>
        <w:autoSpaceDE w:val="0"/>
        <w:autoSpaceDN w:val="0"/>
        <w:adjustRightInd w:val="0"/>
        <w:spacing w:after="0" w:line="240" w:lineRule="auto"/>
        <w:ind w:right="-271"/>
        <w:jc w:val="both"/>
        <w:rPr>
          <w:rFonts w:ascii="Aptos" w:eastAsia="Times New Roman" w:hAnsi="Aptos" w:cs="Calibri"/>
          <w:kern w:val="0"/>
          <w:sz w:val="22"/>
          <w:szCs w:val="22"/>
          <w:lang w:val="es-AR" w:eastAsia="es-ES"/>
          <w14:ligatures w14:val="none"/>
        </w:rPr>
      </w:pPr>
    </w:p>
    <w:p w14:paraId="27B8F78F" w14:textId="77777777" w:rsidR="00032352" w:rsidRPr="00B52734" w:rsidRDefault="00032352" w:rsidP="00032352">
      <w:pPr>
        <w:spacing w:after="0" w:line="240" w:lineRule="auto"/>
        <w:ind w:right="-285" w:firstLine="708"/>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Sin otro particular, saludamos a Uds. muy atentamente.</w:t>
      </w:r>
    </w:p>
    <w:p w14:paraId="7DFDF021"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p>
    <w:p w14:paraId="11F21143"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p>
    <w:p w14:paraId="0E8CE0C7"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p>
    <w:p w14:paraId="4D97F6ED"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p>
    <w:p w14:paraId="59E8CA9F"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p>
    <w:p w14:paraId="52B21E83"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______________________</w:t>
      </w:r>
    </w:p>
    <w:p w14:paraId="16495EE2"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Firma/s</w:t>
      </w:r>
    </w:p>
    <w:p w14:paraId="17C9CF08"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p>
    <w:p w14:paraId="341831F6"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p>
    <w:p w14:paraId="1F416BDB"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p>
    <w:p w14:paraId="2BD380F5"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p>
    <w:p w14:paraId="6C070D05"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_______________________</w:t>
      </w:r>
    </w:p>
    <w:p w14:paraId="658B66BC" w14:textId="77777777" w:rsidR="00032352" w:rsidRPr="00B52734" w:rsidRDefault="00032352" w:rsidP="00032352">
      <w:pPr>
        <w:spacing w:after="0" w:line="240" w:lineRule="auto"/>
        <w:ind w:right="-285"/>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Nombre/s y Apellido/s del/de los Suscriptor/es “personas humanas” / Razón Social del Suscriptor “persona jurídica” y Nombre y Sello del Representante Legal o Apoderado/s Firmante/s. Cargo. Domicilio. Teléfono. DNI.</w:t>
      </w:r>
      <w:bookmarkStart w:id="4" w:name="_DV_M3"/>
      <w:bookmarkStart w:id="5" w:name="_DV_M30"/>
      <w:bookmarkStart w:id="6" w:name="_DV_M33"/>
      <w:bookmarkStart w:id="7" w:name="_DV_M48"/>
      <w:bookmarkStart w:id="8" w:name="_DV_M49"/>
      <w:bookmarkStart w:id="9" w:name="_DV_M50"/>
      <w:bookmarkStart w:id="10" w:name="_DV_M51"/>
      <w:bookmarkStart w:id="11" w:name="_DV_M52"/>
      <w:bookmarkStart w:id="12" w:name="_DV_M53"/>
      <w:bookmarkStart w:id="13" w:name="_DV_M54"/>
      <w:bookmarkStart w:id="14" w:name="_DV_M55"/>
      <w:bookmarkStart w:id="15" w:name="_DV_M56"/>
      <w:bookmarkStart w:id="16" w:name="_DV_M59"/>
      <w:bookmarkStart w:id="17" w:name="_DV_M60"/>
      <w:bookmarkStart w:id="18" w:name="_DV_M61"/>
      <w:bookmarkStart w:id="19" w:name="_DV_M62"/>
      <w:bookmarkStart w:id="20" w:name="_DV_M63"/>
      <w:bookmarkStart w:id="21" w:name="_DV_M64"/>
      <w:bookmarkStart w:id="22" w:name="_DV_M65"/>
      <w:bookmarkStart w:id="23" w:name="_DV_M66"/>
      <w:bookmarkStart w:id="24" w:name="_DV_M67"/>
      <w:bookmarkStart w:id="25" w:name="_DV_M68"/>
      <w:bookmarkStart w:id="26" w:name="_DV_M69"/>
      <w:bookmarkStart w:id="27" w:name="_DV_M70"/>
      <w:bookmarkStart w:id="28" w:name="_DV_M71"/>
      <w:bookmarkStart w:id="29" w:name="_DV_M72"/>
      <w:bookmarkStart w:id="30" w:name="_DV_M73"/>
      <w:bookmarkStart w:id="31" w:name="_DV_M74"/>
      <w:bookmarkStart w:id="32" w:name="_DV_M75"/>
      <w:bookmarkStart w:id="33" w:name="_DV_M76"/>
      <w:bookmarkStart w:id="34" w:name="_DV_M77"/>
      <w:bookmarkStart w:id="35" w:name="_DV_M78"/>
      <w:bookmarkStart w:id="36" w:name="_DV_M79"/>
      <w:bookmarkStart w:id="37" w:name="_DV_M80"/>
      <w:bookmarkStart w:id="38" w:name="_DV_M81"/>
      <w:bookmarkStart w:id="39" w:name="_DV_M82"/>
      <w:bookmarkStart w:id="40" w:name="_DV_M83"/>
      <w:bookmarkStart w:id="41" w:name="_DV_M84"/>
      <w:bookmarkStart w:id="42" w:name="_DV_M85"/>
      <w:bookmarkStart w:id="43" w:name="_DV_M86"/>
      <w:bookmarkStart w:id="44" w:name="_DV_M28"/>
      <w:bookmarkStart w:id="45" w:name="_DV_M2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6E6FCF30" w14:textId="675D70AB" w:rsidR="007D5EFA" w:rsidRPr="00B52734" w:rsidRDefault="007D5EFA" w:rsidP="00032352">
      <w:pPr>
        <w:spacing w:line="259" w:lineRule="auto"/>
        <w:rPr>
          <w:rFonts w:ascii="Aptos" w:eastAsia="Times New Roman" w:hAnsi="Aptos" w:cs="Calibri"/>
          <w:kern w:val="0"/>
          <w:sz w:val="22"/>
          <w:szCs w:val="22"/>
          <w:lang w:val="es-AR" w:eastAsia="es-ES"/>
          <w14:ligatures w14:val="none"/>
        </w:rPr>
      </w:pPr>
    </w:p>
    <w:p w14:paraId="20CA4F85" w14:textId="77777777" w:rsidR="00861BA2" w:rsidRPr="00B52734" w:rsidRDefault="00861BA2" w:rsidP="00861BA2">
      <w:pPr>
        <w:jc w:val="both"/>
        <w:rPr>
          <w:rFonts w:ascii="Aptos" w:eastAsia="Times New Roman" w:hAnsi="Aptos" w:cs="Calibri"/>
          <w:kern w:val="0"/>
          <w:sz w:val="22"/>
          <w:szCs w:val="22"/>
          <w:lang w:val="es-AR" w:eastAsia="es-ES"/>
          <w14:ligatures w14:val="none"/>
        </w:rPr>
      </w:pPr>
      <w:r w:rsidRPr="00B52734">
        <w:rPr>
          <w:rFonts w:ascii="Aptos" w:eastAsia="Times New Roman" w:hAnsi="Aptos" w:cs="Calibri"/>
          <w:kern w:val="0"/>
          <w:sz w:val="22"/>
          <w:szCs w:val="22"/>
          <w:lang w:val="es-AR" w:eastAsia="es-ES"/>
          <w14:ligatures w14:val="none"/>
        </w:rPr>
        <w:t xml:space="preserve">EL PRESENTE FORMULARIO DE SUSCRIPCIÓN PODRÁ EMITIRSE AL COLOCADOR BANCO DE SERVICIOS Y TRANSACCIONES S.A. DURANTE EL PERÍODO DE LICITACIÓN (I) MEDIANTE MAIL A MESA@BST.COM.AR, ATENCIÓN PAZ SEMENTUCH/MATIAS VELOSO/Tomas Bajdacz, DEBIENDO PRESENTAR EL ORIGINAL POSTERIORMENTE; O (II) EN MANO EN EL DOMICILIO DEL COLOCADOR SITO EN TTE. GRAL. JUAN DOMINGO PERÓN 646, PISO 4°, REPÚBLICA ARGENTINA, EN EL HORARIO HABITUAL DE LA ACTIVIDAD COMERCIAL O DE </w:t>
      </w:r>
      <w:smartTag w:uri="urn:schemas-microsoft-com:office:smarttags" w:element="metricconverter">
        <w:smartTagPr>
          <w:attr w:name="ProductID" w:val="10 A"/>
        </w:smartTagPr>
        <w:r w:rsidRPr="00B52734">
          <w:rPr>
            <w:rFonts w:ascii="Aptos" w:eastAsia="Times New Roman" w:hAnsi="Aptos" w:cs="Calibri"/>
            <w:kern w:val="0"/>
            <w:sz w:val="22"/>
            <w:szCs w:val="22"/>
            <w:lang w:val="es-AR" w:eastAsia="es-ES"/>
            <w14:ligatures w14:val="none"/>
          </w:rPr>
          <w:t>10 A</w:t>
        </w:r>
      </w:smartTag>
      <w:r w:rsidRPr="00B52734">
        <w:rPr>
          <w:rFonts w:ascii="Aptos" w:eastAsia="Times New Roman" w:hAnsi="Aptos" w:cs="Calibri"/>
          <w:kern w:val="0"/>
          <w:sz w:val="22"/>
          <w:szCs w:val="22"/>
          <w:lang w:val="es-AR" w:eastAsia="es-ES"/>
          <w14:ligatures w14:val="none"/>
        </w:rPr>
        <w:t xml:space="preserve"> 16 HORAS. EL EJEMPLAR ORIGINAL DEBERÁ ESTAR DEBIDAMENTE FIRMADO.</w:t>
      </w:r>
    </w:p>
    <w:p w14:paraId="3B185F9A" w14:textId="77777777" w:rsidR="00861BA2" w:rsidRPr="00B52734" w:rsidRDefault="00861BA2" w:rsidP="00032352">
      <w:pPr>
        <w:spacing w:line="259" w:lineRule="auto"/>
        <w:rPr>
          <w:rFonts w:ascii="Aptos" w:eastAsia="Times New Roman" w:hAnsi="Aptos" w:cs="Calibri"/>
          <w:kern w:val="0"/>
          <w:sz w:val="22"/>
          <w:szCs w:val="22"/>
          <w:lang w:val="es-AR" w:eastAsia="es-ES"/>
          <w14:ligatures w14:val="none"/>
        </w:rPr>
      </w:pPr>
    </w:p>
    <w:sectPr w:rsidR="00861BA2" w:rsidRPr="00B527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E99CC" w14:textId="77777777" w:rsidR="00861BA2" w:rsidRDefault="00861BA2" w:rsidP="00861BA2">
      <w:pPr>
        <w:spacing w:after="0" w:line="240" w:lineRule="auto"/>
      </w:pPr>
      <w:r>
        <w:separator/>
      </w:r>
    </w:p>
  </w:endnote>
  <w:endnote w:type="continuationSeparator" w:id="0">
    <w:p w14:paraId="6046AFD9" w14:textId="77777777" w:rsidR="00861BA2" w:rsidRDefault="00861BA2" w:rsidP="00861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8740256"/>
      <w:docPartObj>
        <w:docPartGallery w:val="Page Numbers (Bottom of Page)"/>
        <w:docPartUnique/>
      </w:docPartObj>
    </w:sdtPr>
    <w:sdtEndPr/>
    <w:sdtContent>
      <w:p w14:paraId="19AF0E23" w14:textId="5A829F3E" w:rsidR="00861BA2" w:rsidRDefault="00861BA2">
        <w:pPr>
          <w:pStyle w:val="Piedepgina"/>
          <w:jc w:val="center"/>
        </w:pPr>
        <w:r>
          <w:fldChar w:fldCharType="begin"/>
        </w:r>
        <w:r>
          <w:instrText>PAGE   \* MERGEFORMAT</w:instrText>
        </w:r>
        <w:r>
          <w:fldChar w:fldCharType="separate"/>
        </w:r>
        <w:r>
          <w:rPr>
            <w:lang w:val="es-ES"/>
          </w:rPr>
          <w:t>2</w:t>
        </w:r>
        <w:r>
          <w:fldChar w:fldCharType="end"/>
        </w:r>
      </w:p>
    </w:sdtContent>
  </w:sdt>
  <w:p w14:paraId="7867B014" w14:textId="77777777" w:rsidR="00861BA2" w:rsidRDefault="00861BA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82F53" w14:textId="77777777" w:rsidR="00861BA2" w:rsidRDefault="00861BA2" w:rsidP="00861BA2">
      <w:pPr>
        <w:spacing w:after="0" w:line="240" w:lineRule="auto"/>
      </w:pPr>
      <w:r>
        <w:separator/>
      </w:r>
    </w:p>
  </w:footnote>
  <w:footnote w:type="continuationSeparator" w:id="0">
    <w:p w14:paraId="1546B8FE" w14:textId="77777777" w:rsidR="00861BA2" w:rsidRDefault="00861BA2" w:rsidP="00861B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75DEB"/>
    <w:multiLevelType w:val="hybridMultilevel"/>
    <w:tmpl w:val="4DECB08C"/>
    <w:lvl w:ilvl="0" w:tplc="2FFE6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D1BB6"/>
    <w:multiLevelType w:val="hybridMultilevel"/>
    <w:tmpl w:val="1F54361C"/>
    <w:lvl w:ilvl="0" w:tplc="3E5CC24A">
      <w:start w:val="1"/>
      <w:numFmt w:val="upperLetter"/>
      <w:lvlText w:val="%1."/>
      <w:lvlJc w:val="left"/>
      <w:pPr>
        <w:ind w:left="720" w:hanging="360"/>
      </w:pPr>
      <w:rPr>
        <w:rFonts w:hint="default"/>
        <w:i w:val="0"/>
        <w:iCs/>
        <w:sz w:val="22"/>
        <w:szCs w:val="22"/>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9FF76E0"/>
    <w:multiLevelType w:val="hybridMultilevel"/>
    <w:tmpl w:val="9AAAFF6E"/>
    <w:lvl w:ilvl="0" w:tplc="43186A1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9AB332E"/>
    <w:multiLevelType w:val="hybridMultilevel"/>
    <w:tmpl w:val="BB16E1A8"/>
    <w:lvl w:ilvl="0" w:tplc="1BB65E06">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F2D7091"/>
    <w:multiLevelType w:val="hybridMultilevel"/>
    <w:tmpl w:val="2496DB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9F69BA"/>
    <w:multiLevelType w:val="hybridMultilevel"/>
    <w:tmpl w:val="2496DB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CA16F7"/>
    <w:multiLevelType w:val="hybridMultilevel"/>
    <w:tmpl w:val="2496DBFA"/>
    <w:lvl w:ilvl="0" w:tplc="7D4A0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028035">
    <w:abstractNumId w:val="3"/>
  </w:num>
  <w:num w:numId="2" w16cid:durableId="304970760">
    <w:abstractNumId w:val="1"/>
  </w:num>
  <w:num w:numId="3" w16cid:durableId="1549684065">
    <w:abstractNumId w:val="6"/>
  </w:num>
  <w:num w:numId="4" w16cid:durableId="1120760186">
    <w:abstractNumId w:val="0"/>
  </w:num>
  <w:num w:numId="5" w16cid:durableId="952597244">
    <w:abstractNumId w:val="4"/>
  </w:num>
  <w:num w:numId="6" w16cid:durableId="1397699060">
    <w:abstractNumId w:val="5"/>
  </w:num>
  <w:num w:numId="7" w16cid:durableId="1550873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52"/>
    <w:rsid w:val="00032352"/>
    <w:rsid w:val="0005245A"/>
    <w:rsid w:val="0014744F"/>
    <w:rsid w:val="002B5788"/>
    <w:rsid w:val="00385486"/>
    <w:rsid w:val="00390CF8"/>
    <w:rsid w:val="00461C0E"/>
    <w:rsid w:val="004A2EE6"/>
    <w:rsid w:val="0068144D"/>
    <w:rsid w:val="00744AD2"/>
    <w:rsid w:val="007757D9"/>
    <w:rsid w:val="007D5EFA"/>
    <w:rsid w:val="00861BA2"/>
    <w:rsid w:val="00977A05"/>
    <w:rsid w:val="00A3406B"/>
    <w:rsid w:val="00B52734"/>
    <w:rsid w:val="00F72B8A"/>
    <w:rsid w:val="00FA4A8B"/>
    <w:rsid w:val="00FC1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F3674A"/>
  <w15:chartTrackingRefBased/>
  <w15:docId w15:val="{6F04CAA2-690E-4F92-A837-5C01BD51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323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323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3235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3235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3235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323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323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323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323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3235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3235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3235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3235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3235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323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323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323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32352"/>
    <w:rPr>
      <w:rFonts w:eastAsiaTheme="majorEastAsia" w:cstheme="majorBidi"/>
      <w:color w:val="272727" w:themeColor="text1" w:themeTint="D8"/>
    </w:rPr>
  </w:style>
  <w:style w:type="paragraph" w:styleId="Ttulo">
    <w:name w:val="Title"/>
    <w:basedOn w:val="Normal"/>
    <w:next w:val="Normal"/>
    <w:link w:val="TtuloCar"/>
    <w:uiPriority w:val="10"/>
    <w:qFormat/>
    <w:rsid w:val="000323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323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323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323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32352"/>
    <w:pPr>
      <w:spacing w:before="160"/>
      <w:jc w:val="center"/>
    </w:pPr>
    <w:rPr>
      <w:i/>
      <w:iCs/>
      <w:color w:val="404040" w:themeColor="text1" w:themeTint="BF"/>
    </w:rPr>
  </w:style>
  <w:style w:type="character" w:customStyle="1" w:styleId="CitaCar">
    <w:name w:val="Cita Car"/>
    <w:basedOn w:val="Fuentedeprrafopredeter"/>
    <w:link w:val="Cita"/>
    <w:uiPriority w:val="29"/>
    <w:rsid w:val="00032352"/>
    <w:rPr>
      <w:i/>
      <w:iCs/>
      <w:color w:val="404040" w:themeColor="text1" w:themeTint="BF"/>
    </w:rPr>
  </w:style>
  <w:style w:type="paragraph" w:styleId="Prrafodelista">
    <w:name w:val="List Paragraph"/>
    <w:aliases w:val="Used List Paragraph"/>
    <w:basedOn w:val="Normal"/>
    <w:link w:val="PrrafodelistaCar"/>
    <w:uiPriority w:val="34"/>
    <w:qFormat/>
    <w:rsid w:val="00032352"/>
    <w:pPr>
      <w:ind w:left="720"/>
      <w:contextualSpacing/>
    </w:pPr>
  </w:style>
  <w:style w:type="character" w:styleId="nfasisintenso">
    <w:name w:val="Intense Emphasis"/>
    <w:basedOn w:val="Fuentedeprrafopredeter"/>
    <w:uiPriority w:val="21"/>
    <w:qFormat/>
    <w:rsid w:val="00032352"/>
    <w:rPr>
      <w:i/>
      <w:iCs/>
      <w:color w:val="0F4761" w:themeColor="accent1" w:themeShade="BF"/>
    </w:rPr>
  </w:style>
  <w:style w:type="paragraph" w:styleId="Citadestacada">
    <w:name w:val="Intense Quote"/>
    <w:basedOn w:val="Normal"/>
    <w:next w:val="Normal"/>
    <w:link w:val="CitadestacadaCar"/>
    <w:uiPriority w:val="30"/>
    <w:qFormat/>
    <w:rsid w:val="000323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32352"/>
    <w:rPr>
      <w:i/>
      <w:iCs/>
      <w:color w:val="0F4761" w:themeColor="accent1" w:themeShade="BF"/>
    </w:rPr>
  </w:style>
  <w:style w:type="character" w:styleId="Referenciaintensa">
    <w:name w:val="Intense Reference"/>
    <w:basedOn w:val="Fuentedeprrafopredeter"/>
    <w:uiPriority w:val="32"/>
    <w:qFormat/>
    <w:rsid w:val="00032352"/>
    <w:rPr>
      <w:b/>
      <w:bCs/>
      <w:smallCaps/>
      <w:color w:val="0F4761" w:themeColor="accent1" w:themeShade="BF"/>
      <w:spacing w:val="5"/>
    </w:rPr>
  </w:style>
  <w:style w:type="table" w:customStyle="1" w:styleId="TableGrid1">
    <w:name w:val="Table Grid1"/>
    <w:basedOn w:val="Tablanormal"/>
    <w:next w:val="Tablaconcuadrcula"/>
    <w:uiPriority w:val="39"/>
    <w:rsid w:val="00032352"/>
    <w:pPr>
      <w:spacing w:after="0" w:line="240" w:lineRule="auto"/>
    </w:pPr>
    <w:rPr>
      <w:rFonts w:cs="Calibri"/>
      <w:kern w:val="0"/>
      <w:sz w:val="22"/>
      <w:szCs w:val="22"/>
      <w:lang w:val="es-A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32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61BA2"/>
    <w:pPr>
      <w:spacing w:after="0" w:line="240" w:lineRule="auto"/>
    </w:pPr>
  </w:style>
  <w:style w:type="character" w:customStyle="1" w:styleId="PrrafodelistaCar">
    <w:name w:val="Párrafo de lista Car"/>
    <w:aliases w:val="Used List Paragraph Car"/>
    <w:link w:val="Prrafodelista"/>
    <w:uiPriority w:val="34"/>
    <w:locked/>
    <w:rsid w:val="00861BA2"/>
  </w:style>
  <w:style w:type="paragraph" w:styleId="Encabezado">
    <w:name w:val="header"/>
    <w:basedOn w:val="Normal"/>
    <w:link w:val="EncabezadoCar"/>
    <w:uiPriority w:val="99"/>
    <w:unhideWhenUsed/>
    <w:rsid w:val="00861B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1BA2"/>
  </w:style>
  <w:style w:type="paragraph" w:styleId="Piedepgina">
    <w:name w:val="footer"/>
    <w:basedOn w:val="Normal"/>
    <w:link w:val="PiedepginaCar"/>
    <w:uiPriority w:val="99"/>
    <w:unhideWhenUsed/>
    <w:rsid w:val="00861B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1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59B9.0EB2ED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4690</Words>
  <Characters>25795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Haas, Marco</dc:creator>
  <cp:keywords/>
  <dc:description/>
  <cp:lastModifiedBy>Maria Aranda</cp:lastModifiedBy>
  <cp:revision>6</cp:revision>
  <dcterms:created xsi:type="dcterms:W3CDTF">2025-07-10T22:11:00Z</dcterms:created>
  <dcterms:modified xsi:type="dcterms:W3CDTF">2025-07-11T14:06:00Z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378c09-609d-421b-88fc-485d53760b2b_Enabled">
    <vt:lpwstr>true</vt:lpwstr>
  </property>
  <property fmtid="{D5CDD505-2E9C-101B-9397-08002B2CF9AE}" pid="3" name="MSIP_Label_a9378c09-609d-421b-88fc-485d53760b2b_SetDate">
    <vt:lpwstr>2025-07-10T22:11:54Z</vt:lpwstr>
  </property>
  <property fmtid="{D5CDD505-2E9C-101B-9397-08002B2CF9AE}" pid="4" name="MSIP_Label_a9378c09-609d-421b-88fc-485d53760b2b_Method">
    <vt:lpwstr>Standard</vt:lpwstr>
  </property>
  <property fmtid="{D5CDD505-2E9C-101B-9397-08002B2CF9AE}" pid="5" name="MSIP_Label_a9378c09-609d-421b-88fc-485d53760b2b_Name">
    <vt:lpwstr>Etiqueta Estrictamente Secreto</vt:lpwstr>
  </property>
  <property fmtid="{D5CDD505-2E9C-101B-9397-08002B2CF9AE}" pid="6" name="MSIP_Label_a9378c09-609d-421b-88fc-485d53760b2b_SiteId">
    <vt:lpwstr>d80f880f-4d4b-48a4-b6d5-ee44b3cdf59b</vt:lpwstr>
  </property>
  <property fmtid="{D5CDD505-2E9C-101B-9397-08002B2CF9AE}" pid="7" name="MSIP_Label_a9378c09-609d-421b-88fc-485d53760b2b_ActionId">
    <vt:lpwstr>7d52a27e-4dd2-40ca-a9f5-e6bd8301a712</vt:lpwstr>
  </property>
  <property fmtid="{D5CDD505-2E9C-101B-9397-08002B2CF9AE}" pid="8" name="MSIP_Label_a9378c09-609d-421b-88fc-485d53760b2b_ContentBits">
    <vt:lpwstr>0</vt:lpwstr>
  </property>
  <property fmtid="{D5CDD505-2E9C-101B-9397-08002B2CF9AE}" pid="9" name="MSIP_Label_a9378c09-609d-421b-88fc-485d53760b2b_Tag">
    <vt:lpwstr>10, 3, 0, 1</vt:lpwstr>
  </property>
</Properties>
</file>